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F69" w:rsidRDefault="00E53F69" w:rsidP="00502172">
      <w:pPr>
        <w:jc w:val="center"/>
        <w:rPr>
          <w:i/>
          <w:sz w:val="22"/>
          <w:szCs w:val="22"/>
        </w:rPr>
      </w:pPr>
      <w:r w:rsidRPr="00E53F69">
        <w:rPr>
          <w:i/>
          <w:sz w:val="22"/>
          <w:szCs w:val="22"/>
        </w:rPr>
        <w:t xml:space="preserve">Üniversite Senatosunun 09.06.2020 tarih ve 14 </w:t>
      </w:r>
      <w:proofErr w:type="spellStart"/>
      <w:r w:rsidRPr="00E53F69">
        <w:rPr>
          <w:i/>
          <w:sz w:val="22"/>
          <w:szCs w:val="22"/>
        </w:rPr>
        <w:t>nolu</w:t>
      </w:r>
      <w:proofErr w:type="spellEnd"/>
      <w:r w:rsidRPr="00E53F69">
        <w:rPr>
          <w:i/>
          <w:sz w:val="22"/>
          <w:szCs w:val="22"/>
        </w:rPr>
        <w:t xml:space="preserve"> toplantı tutanağının 6. Maddesinin ekidir. </w:t>
      </w:r>
    </w:p>
    <w:p w:rsidR="00E53F69" w:rsidRPr="00E53F69" w:rsidRDefault="00E53F69" w:rsidP="00502172">
      <w:pPr>
        <w:jc w:val="center"/>
        <w:rPr>
          <w:i/>
          <w:sz w:val="22"/>
          <w:szCs w:val="22"/>
        </w:rPr>
      </w:pPr>
    </w:p>
    <w:p w:rsidR="007B1F34" w:rsidRDefault="007B1F34" w:rsidP="00502172">
      <w:pPr>
        <w:jc w:val="center"/>
        <w:rPr>
          <w:b/>
        </w:rPr>
      </w:pPr>
      <w:r>
        <w:rPr>
          <w:b/>
        </w:rPr>
        <w:t>GAZİANTEP ÜNİVERSİTESİ</w:t>
      </w:r>
    </w:p>
    <w:p w:rsidR="007B1F34" w:rsidRDefault="007B1F34" w:rsidP="00502172">
      <w:pPr>
        <w:jc w:val="center"/>
        <w:rPr>
          <w:b/>
        </w:rPr>
      </w:pPr>
      <w:r w:rsidRPr="00CD0434">
        <w:rPr>
          <w:b/>
        </w:rPr>
        <w:t>Ön Lisans ve Lisans Düzeyinde Yatay Geçiş Esaslarına İlişkin Yönerge</w:t>
      </w:r>
    </w:p>
    <w:p w:rsidR="007B1F34" w:rsidRDefault="007B1F34" w:rsidP="00502172">
      <w:pPr>
        <w:jc w:val="center"/>
        <w:rPr>
          <w:b/>
        </w:rPr>
      </w:pPr>
    </w:p>
    <w:p w:rsidR="007B1F34" w:rsidRDefault="007B1F34" w:rsidP="00E163C9">
      <w:pPr>
        <w:jc w:val="both"/>
        <w:rPr>
          <w:b/>
        </w:rPr>
      </w:pPr>
    </w:p>
    <w:p w:rsidR="007B1F34" w:rsidRDefault="007B1F34" w:rsidP="00E163C9">
      <w:pPr>
        <w:jc w:val="both"/>
        <w:rPr>
          <w:b/>
        </w:rPr>
      </w:pPr>
    </w:p>
    <w:p w:rsidR="00AB1D81" w:rsidRPr="00E00E3B" w:rsidRDefault="00AB1D81" w:rsidP="00502172">
      <w:pPr>
        <w:jc w:val="center"/>
        <w:rPr>
          <w:b/>
        </w:rPr>
      </w:pPr>
      <w:r w:rsidRPr="00E00E3B">
        <w:rPr>
          <w:b/>
        </w:rPr>
        <w:t>BİRİNCİ BÖLÜM</w:t>
      </w:r>
    </w:p>
    <w:p w:rsidR="00AB1D81" w:rsidRPr="00E00E3B" w:rsidRDefault="00AB1D81" w:rsidP="00502172">
      <w:pPr>
        <w:jc w:val="center"/>
        <w:rPr>
          <w:b/>
        </w:rPr>
      </w:pPr>
      <w:r w:rsidRPr="00E00E3B">
        <w:rPr>
          <w:b/>
        </w:rPr>
        <w:t>Amaç, Kapsam, Dayanak ve Tanımlar</w:t>
      </w:r>
    </w:p>
    <w:p w:rsidR="00AB1D81" w:rsidRPr="00E00E3B" w:rsidRDefault="00AB1D81" w:rsidP="00E163C9">
      <w:pPr>
        <w:jc w:val="both"/>
      </w:pPr>
    </w:p>
    <w:p w:rsidR="00AB1D81" w:rsidRPr="00E00E3B" w:rsidRDefault="00E9238C" w:rsidP="00E9238C">
      <w:pPr>
        <w:pStyle w:val="Balk3"/>
        <w:ind w:firstLine="0"/>
      </w:pPr>
      <w:r>
        <w:tab/>
      </w:r>
      <w:r w:rsidR="00AB1D81" w:rsidRPr="00E00E3B">
        <w:t xml:space="preserve">Amaç </w:t>
      </w:r>
    </w:p>
    <w:p w:rsidR="007727EA" w:rsidRPr="007727EA" w:rsidRDefault="00AB1D81" w:rsidP="00E9238C">
      <w:pPr>
        <w:pStyle w:val="AklamaMetni"/>
        <w:ind w:firstLine="426"/>
        <w:jc w:val="both"/>
        <w:rPr>
          <w:sz w:val="24"/>
          <w:szCs w:val="24"/>
        </w:rPr>
      </w:pPr>
      <w:r w:rsidRPr="00CB1878">
        <w:rPr>
          <w:b/>
          <w:sz w:val="24"/>
          <w:szCs w:val="24"/>
        </w:rPr>
        <w:t>Madde 1</w:t>
      </w:r>
      <w:r w:rsidRPr="00E9238C">
        <w:rPr>
          <w:b/>
          <w:sz w:val="24"/>
          <w:szCs w:val="24"/>
        </w:rPr>
        <w:t>–(1)</w:t>
      </w:r>
      <w:r w:rsidRPr="00CB1878">
        <w:rPr>
          <w:sz w:val="24"/>
          <w:szCs w:val="24"/>
        </w:rPr>
        <w:tab/>
        <w:t>Bu Yönergenin amacı, eşdeğer diploma programları uygulayan diğer yükseköğretim kurumlarından</w:t>
      </w:r>
      <w:r w:rsidRPr="007727EA">
        <w:rPr>
          <w:sz w:val="24"/>
          <w:szCs w:val="24"/>
        </w:rPr>
        <w:t xml:space="preserve">, Üniversitemizin fakülte, yüksekokul, konservatuvar ve meslek yüksekokulu bünyesinde yer alan diploma programlarına </w:t>
      </w:r>
      <w:r w:rsidR="007727EA" w:rsidRPr="007727EA">
        <w:rPr>
          <w:sz w:val="24"/>
          <w:szCs w:val="24"/>
        </w:rPr>
        <w:t>yapılacak yata</w:t>
      </w:r>
      <w:r w:rsidR="00CB1878">
        <w:rPr>
          <w:sz w:val="24"/>
          <w:szCs w:val="24"/>
        </w:rPr>
        <w:t>y</w:t>
      </w:r>
      <w:r w:rsidR="007727EA" w:rsidRPr="007727EA">
        <w:rPr>
          <w:sz w:val="24"/>
          <w:szCs w:val="24"/>
        </w:rPr>
        <w:t xml:space="preserve"> geçişler ile Üniversitemiz eşdeğer diploma programları arasındaki yatay geçişlerin koşullarını ve başvuruların</w:t>
      </w:r>
      <w:r w:rsidR="00CB1878">
        <w:rPr>
          <w:sz w:val="24"/>
          <w:szCs w:val="24"/>
        </w:rPr>
        <w:t>ın</w:t>
      </w:r>
      <w:r w:rsidR="007727EA" w:rsidRPr="007727EA">
        <w:rPr>
          <w:sz w:val="24"/>
          <w:szCs w:val="24"/>
        </w:rPr>
        <w:t xml:space="preserve"> değerlendirilmesine ilişkin esasları düzenlemektir.</w:t>
      </w:r>
    </w:p>
    <w:p w:rsidR="00AB1D81" w:rsidRPr="007727EA" w:rsidRDefault="00AB1D81" w:rsidP="007727EA">
      <w:pPr>
        <w:pStyle w:val="Balk4"/>
      </w:pPr>
    </w:p>
    <w:p w:rsidR="00AB1D81" w:rsidRPr="00E00E3B" w:rsidRDefault="00E9238C" w:rsidP="00E9238C">
      <w:pPr>
        <w:pStyle w:val="Balk3"/>
        <w:ind w:firstLine="0"/>
      </w:pPr>
      <w:r>
        <w:tab/>
      </w:r>
      <w:r w:rsidR="00AB1D81" w:rsidRPr="00E00E3B">
        <w:t>Kapsam</w:t>
      </w:r>
    </w:p>
    <w:p w:rsidR="00A255BA" w:rsidRPr="00A255BA" w:rsidRDefault="00AB1D81" w:rsidP="00E9238C">
      <w:pPr>
        <w:pStyle w:val="AklamaMetni"/>
        <w:ind w:firstLine="426"/>
        <w:jc w:val="both"/>
        <w:rPr>
          <w:sz w:val="24"/>
          <w:szCs w:val="24"/>
        </w:rPr>
      </w:pPr>
      <w:r w:rsidRPr="00A255BA">
        <w:rPr>
          <w:b/>
          <w:sz w:val="24"/>
          <w:szCs w:val="24"/>
        </w:rPr>
        <w:t>Madde 2–(1)</w:t>
      </w:r>
      <w:r w:rsidRPr="00A255BA">
        <w:rPr>
          <w:sz w:val="24"/>
          <w:szCs w:val="24"/>
        </w:rPr>
        <w:t xml:space="preserve"> Bu Yönerge, eşdeğer diploma programları uygulayan di</w:t>
      </w:r>
      <w:r w:rsidR="00A42AFE">
        <w:rPr>
          <w:sz w:val="24"/>
          <w:szCs w:val="24"/>
        </w:rPr>
        <w:t>ğer yükseköğretim kurumlarından</w:t>
      </w:r>
      <w:r w:rsidRPr="00A255BA">
        <w:rPr>
          <w:sz w:val="24"/>
          <w:szCs w:val="24"/>
        </w:rPr>
        <w:t xml:space="preserve"> Üniversitemizin fakülte, yüksekokul, konservatuvar ve meslek yüksekokulu bünyesinde yer alan diploma programlarına </w:t>
      </w:r>
      <w:r w:rsidR="00A255BA" w:rsidRPr="00A255BA">
        <w:rPr>
          <w:sz w:val="24"/>
          <w:szCs w:val="24"/>
        </w:rPr>
        <w:t>yapılacak yatay geçişler ile Üniversitemiz eşdeğer dipl</w:t>
      </w:r>
      <w:r w:rsidR="00A255BA">
        <w:rPr>
          <w:sz w:val="24"/>
          <w:szCs w:val="24"/>
        </w:rPr>
        <w:t>oma programları arasındaki yatay</w:t>
      </w:r>
      <w:r w:rsidR="00A255BA" w:rsidRPr="00A255BA">
        <w:rPr>
          <w:sz w:val="24"/>
          <w:szCs w:val="24"/>
        </w:rPr>
        <w:t xml:space="preserve"> geçişlerin koşullarını ve başvuruların değerlendirilmesine ilişkin hükümleri kapsar.</w:t>
      </w:r>
    </w:p>
    <w:p w:rsidR="00AB1D81" w:rsidRPr="00E00E3B" w:rsidRDefault="00AB1D81" w:rsidP="00E163C9">
      <w:pPr>
        <w:pStyle w:val="Balk3"/>
      </w:pPr>
    </w:p>
    <w:p w:rsidR="00AB1D81" w:rsidRPr="00E00E3B" w:rsidRDefault="00E9238C" w:rsidP="00E9238C">
      <w:pPr>
        <w:pStyle w:val="Balk3"/>
        <w:ind w:firstLine="0"/>
      </w:pPr>
      <w:r>
        <w:tab/>
      </w:r>
      <w:r w:rsidR="00AB1D81" w:rsidRPr="00E00E3B">
        <w:t xml:space="preserve">Dayanak </w:t>
      </w:r>
    </w:p>
    <w:p w:rsidR="00AB1D81" w:rsidRPr="00E00E3B" w:rsidRDefault="00AB1D81" w:rsidP="00E9238C">
      <w:pPr>
        <w:pStyle w:val="Balk4"/>
        <w:ind w:firstLine="426"/>
      </w:pPr>
      <w:r w:rsidRPr="00E00E3B">
        <w:rPr>
          <w:b/>
        </w:rPr>
        <w:t>Madde 3</w:t>
      </w:r>
      <w:r w:rsidRPr="00E9238C">
        <w:rPr>
          <w:b/>
        </w:rPr>
        <w:t>–(1)</w:t>
      </w:r>
      <w:r w:rsidRPr="00E00E3B">
        <w:tab/>
        <w:t xml:space="preserve">Bu Yönerge, 24.04.2010 tarihli ve 27561 sayılı Resmi Gazetede yayımlanan “Yükseköğretim Kurumlarında </w:t>
      </w:r>
      <w:proofErr w:type="spellStart"/>
      <w:r w:rsidRPr="00E00E3B">
        <w:t>Önlisans</w:t>
      </w:r>
      <w:proofErr w:type="spellEnd"/>
      <w:r w:rsidRPr="00E00E3B">
        <w:t xml:space="preserve"> ve Lisans Düzeyindeki Programlar Arasında Geçiş, Çift </w:t>
      </w:r>
      <w:proofErr w:type="spellStart"/>
      <w:r w:rsidRPr="00E00E3B">
        <w:t>Anadal</w:t>
      </w:r>
      <w:proofErr w:type="spellEnd"/>
      <w:r w:rsidRPr="00E00E3B">
        <w:t>, Yan Dal ile Kurumlar Arası Kredi Transferi Yapılması Esaslarına İlişkin Yönetmelik” hükümlerine dayanılarak hazırlanmıştır.</w:t>
      </w:r>
    </w:p>
    <w:p w:rsidR="00AB1D81" w:rsidRPr="00E00E3B" w:rsidRDefault="00AB1D81" w:rsidP="00E163C9">
      <w:pPr>
        <w:pStyle w:val="AltMaddeler"/>
        <w:spacing w:before="0" w:after="0"/>
        <w:rPr>
          <w:rFonts w:ascii="Times New Roman" w:hAnsi="Times New Roman"/>
          <w:sz w:val="24"/>
          <w:szCs w:val="24"/>
        </w:rPr>
      </w:pPr>
    </w:p>
    <w:p w:rsidR="00AB1D81" w:rsidRPr="00E00E3B" w:rsidRDefault="00E9238C" w:rsidP="00E9238C">
      <w:pPr>
        <w:pStyle w:val="Balk3"/>
        <w:ind w:firstLine="0"/>
      </w:pPr>
      <w:r>
        <w:tab/>
      </w:r>
      <w:r w:rsidR="00AB1D81" w:rsidRPr="00E00E3B">
        <w:t>Tanımlar</w:t>
      </w:r>
    </w:p>
    <w:p w:rsidR="00AB1D81" w:rsidRPr="00E00E3B" w:rsidRDefault="00E9238C" w:rsidP="00E9238C">
      <w:pPr>
        <w:pStyle w:val="Balk3"/>
        <w:ind w:firstLine="0"/>
        <w:rPr>
          <w:b w:val="0"/>
        </w:rPr>
      </w:pPr>
      <w:r>
        <w:tab/>
      </w:r>
      <w:r w:rsidR="00AB1D81" w:rsidRPr="00E00E3B">
        <w:t xml:space="preserve">Madde 4 </w:t>
      </w:r>
      <w:r w:rsidR="00AB1D81" w:rsidRPr="00E00E3B">
        <w:rPr>
          <w:b w:val="0"/>
        </w:rPr>
        <w:t>–(1) Yönergede geçen;</w:t>
      </w:r>
    </w:p>
    <w:p w:rsidR="00AB1D81" w:rsidRPr="00E00E3B" w:rsidRDefault="00AB1D81" w:rsidP="00E163C9">
      <w:pPr>
        <w:pStyle w:val="AltMaddeler"/>
        <w:spacing w:before="0" w:after="0"/>
        <w:rPr>
          <w:rFonts w:ascii="Times New Roman" w:hAnsi="Times New Roman"/>
          <w:sz w:val="24"/>
          <w:szCs w:val="24"/>
        </w:rPr>
      </w:pPr>
      <w:r w:rsidRPr="00E00E3B">
        <w:rPr>
          <w:rFonts w:ascii="Times New Roman" w:hAnsi="Times New Roman"/>
          <w:sz w:val="24"/>
          <w:szCs w:val="24"/>
        </w:rPr>
        <w:t>a)</w:t>
      </w:r>
      <w:r w:rsidRPr="00E00E3B">
        <w:rPr>
          <w:rFonts w:ascii="Times New Roman" w:hAnsi="Times New Roman"/>
          <w:sz w:val="24"/>
          <w:szCs w:val="24"/>
        </w:rPr>
        <w:tab/>
      </w:r>
      <w:r w:rsidRPr="00670B3F">
        <w:rPr>
          <w:rFonts w:ascii="Times New Roman" w:hAnsi="Times New Roman"/>
          <w:b/>
          <w:sz w:val="24"/>
          <w:szCs w:val="24"/>
        </w:rPr>
        <w:t>Üniversite:</w:t>
      </w:r>
      <w:r w:rsidRPr="00E00E3B">
        <w:rPr>
          <w:rFonts w:ascii="Times New Roman" w:hAnsi="Times New Roman"/>
          <w:sz w:val="24"/>
          <w:szCs w:val="24"/>
        </w:rPr>
        <w:t xml:space="preserve"> Gaziantep Üniversitesini</w:t>
      </w:r>
    </w:p>
    <w:p w:rsidR="00AB1D81" w:rsidRPr="00E00E3B" w:rsidRDefault="00AB1D81" w:rsidP="00E163C9">
      <w:pPr>
        <w:pStyle w:val="AltMaddeler"/>
        <w:spacing w:before="0" w:after="0"/>
        <w:rPr>
          <w:rFonts w:ascii="Times New Roman" w:hAnsi="Times New Roman"/>
          <w:sz w:val="24"/>
          <w:szCs w:val="24"/>
        </w:rPr>
      </w:pPr>
      <w:r w:rsidRPr="00E00E3B">
        <w:rPr>
          <w:rFonts w:ascii="Times New Roman" w:hAnsi="Times New Roman"/>
          <w:sz w:val="24"/>
          <w:szCs w:val="24"/>
        </w:rPr>
        <w:t>b)</w:t>
      </w:r>
      <w:r w:rsidRPr="00E00E3B">
        <w:rPr>
          <w:rFonts w:ascii="Times New Roman" w:hAnsi="Times New Roman"/>
          <w:sz w:val="24"/>
          <w:szCs w:val="24"/>
        </w:rPr>
        <w:tab/>
      </w:r>
      <w:r w:rsidRPr="00670B3F">
        <w:rPr>
          <w:rFonts w:ascii="Times New Roman" w:hAnsi="Times New Roman"/>
          <w:b/>
          <w:sz w:val="24"/>
          <w:szCs w:val="24"/>
        </w:rPr>
        <w:t>Senato:</w:t>
      </w:r>
      <w:r w:rsidRPr="00E00E3B">
        <w:rPr>
          <w:rFonts w:ascii="Times New Roman" w:hAnsi="Times New Roman"/>
          <w:sz w:val="24"/>
          <w:szCs w:val="24"/>
        </w:rPr>
        <w:t xml:space="preserve"> Gaziantep Üniversitesi Senatosunu</w:t>
      </w:r>
    </w:p>
    <w:p w:rsidR="00AB1D81" w:rsidRPr="00E00E3B" w:rsidRDefault="00AB1D81" w:rsidP="00E163C9">
      <w:pPr>
        <w:pStyle w:val="AltMaddeler"/>
        <w:rPr>
          <w:rFonts w:ascii="Times New Roman" w:hAnsi="Times New Roman"/>
          <w:sz w:val="24"/>
          <w:szCs w:val="24"/>
        </w:rPr>
      </w:pPr>
      <w:r w:rsidRPr="00E00E3B">
        <w:rPr>
          <w:rFonts w:ascii="Times New Roman" w:hAnsi="Times New Roman"/>
          <w:sz w:val="24"/>
          <w:szCs w:val="24"/>
        </w:rPr>
        <w:t>c)</w:t>
      </w:r>
      <w:r w:rsidRPr="00E00E3B">
        <w:rPr>
          <w:rFonts w:ascii="Times New Roman" w:hAnsi="Times New Roman"/>
          <w:sz w:val="24"/>
          <w:szCs w:val="24"/>
        </w:rPr>
        <w:tab/>
      </w:r>
      <w:r w:rsidRPr="00670B3F">
        <w:rPr>
          <w:rFonts w:ascii="Times New Roman" w:hAnsi="Times New Roman"/>
          <w:b/>
          <w:sz w:val="24"/>
          <w:szCs w:val="24"/>
        </w:rPr>
        <w:t>Diploma Programı:</w:t>
      </w:r>
      <w:r w:rsidRPr="00E00E3B">
        <w:rPr>
          <w:rFonts w:ascii="Times New Roman" w:hAnsi="Times New Roman"/>
          <w:sz w:val="24"/>
          <w:szCs w:val="24"/>
        </w:rPr>
        <w:t xml:space="preserve"> Fakülte, Yüksekokul, Konservatuvar ve Meslek Yüksekokulların da yürütülen </w:t>
      </w:r>
      <w:proofErr w:type="spellStart"/>
      <w:r w:rsidRPr="00E00E3B">
        <w:rPr>
          <w:rFonts w:ascii="Times New Roman" w:hAnsi="Times New Roman"/>
          <w:sz w:val="24"/>
          <w:szCs w:val="24"/>
        </w:rPr>
        <w:t>önlisans</w:t>
      </w:r>
      <w:proofErr w:type="spellEnd"/>
      <w:r w:rsidRPr="00E00E3B">
        <w:rPr>
          <w:rFonts w:ascii="Times New Roman" w:hAnsi="Times New Roman"/>
          <w:sz w:val="24"/>
          <w:szCs w:val="24"/>
        </w:rPr>
        <w:t>/lisans programlarını,</w:t>
      </w:r>
    </w:p>
    <w:p w:rsidR="00AB1D81" w:rsidRPr="00E00E3B" w:rsidRDefault="00AB1D81" w:rsidP="00E163C9">
      <w:pPr>
        <w:pStyle w:val="AltMaddeler"/>
        <w:rPr>
          <w:rFonts w:ascii="Times New Roman" w:hAnsi="Times New Roman"/>
          <w:sz w:val="24"/>
          <w:szCs w:val="24"/>
        </w:rPr>
      </w:pPr>
      <w:r w:rsidRPr="00E00E3B">
        <w:rPr>
          <w:rFonts w:ascii="Times New Roman" w:hAnsi="Times New Roman"/>
          <w:sz w:val="24"/>
          <w:szCs w:val="24"/>
        </w:rPr>
        <w:t>ç)</w:t>
      </w:r>
      <w:r w:rsidRPr="00E00E3B">
        <w:rPr>
          <w:rFonts w:ascii="Times New Roman" w:hAnsi="Times New Roman"/>
          <w:sz w:val="24"/>
          <w:szCs w:val="24"/>
        </w:rPr>
        <w:tab/>
      </w:r>
      <w:proofErr w:type="spellStart"/>
      <w:r w:rsidRPr="00670B3F">
        <w:rPr>
          <w:rFonts w:ascii="Times New Roman" w:hAnsi="Times New Roman"/>
          <w:b/>
          <w:sz w:val="24"/>
          <w:szCs w:val="24"/>
        </w:rPr>
        <w:t>Düzey:</w:t>
      </w:r>
      <w:r w:rsidRPr="00E00E3B">
        <w:rPr>
          <w:rFonts w:ascii="Times New Roman" w:hAnsi="Times New Roman"/>
          <w:sz w:val="24"/>
          <w:szCs w:val="24"/>
        </w:rPr>
        <w:t>Önlisans</w:t>
      </w:r>
      <w:proofErr w:type="spellEnd"/>
      <w:r w:rsidRPr="00E00E3B">
        <w:rPr>
          <w:rFonts w:ascii="Times New Roman" w:hAnsi="Times New Roman"/>
          <w:sz w:val="24"/>
          <w:szCs w:val="24"/>
        </w:rPr>
        <w:t xml:space="preserve"> veya lisans diploma programlarından her birini,</w:t>
      </w:r>
    </w:p>
    <w:p w:rsidR="00AB1D81" w:rsidRPr="00E00E3B" w:rsidRDefault="00AB1D81" w:rsidP="00E163C9">
      <w:pPr>
        <w:pStyle w:val="AltMaddeler"/>
        <w:rPr>
          <w:rFonts w:ascii="Times New Roman" w:hAnsi="Times New Roman"/>
          <w:sz w:val="24"/>
          <w:szCs w:val="24"/>
        </w:rPr>
      </w:pPr>
      <w:r w:rsidRPr="00E00E3B">
        <w:rPr>
          <w:rFonts w:ascii="Times New Roman" w:hAnsi="Times New Roman"/>
          <w:sz w:val="24"/>
          <w:szCs w:val="24"/>
        </w:rPr>
        <w:t>d)</w:t>
      </w:r>
      <w:r w:rsidRPr="00E00E3B">
        <w:rPr>
          <w:rFonts w:ascii="Times New Roman" w:hAnsi="Times New Roman"/>
          <w:sz w:val="24"/>
          <w:szCs w:val="24"/>
        </w:rPr>
        <w:tab/>
      </w:r>
      <w:r w:rsidRPr="00670B3F">
        <w:rPr>
          <w:rFonts w:ascii="Times New Roman" w:hAnsi="Times New Roman"/>
          <w:b/>
          <w:sz w:val="24"/>
          <w:szCs w:val="24"/>
        </w:rPr>
        <w:t>Eşdeğer diploma programı:</w:t>
      </w:r>
      <w:r w:rsidRPr="00E00E3B">
        <w:rPr>
          <w:rFonts w:ascii="Times New Roman" w:hAnsi="Times New Roman"/>
          <w:sz w:val="24"/>
          <w:szCs w:val="24"/>
        </w:rPr>
        <w:t xml:space="preserve"> İsimleri aynı olan veya ilgili yönetim kurulları tarafından içeriklerinin en az yüzde sekseni aynı olduğu tespit edilen diploma programlarını,</w:t>
      </w:r>
    </w:p>
    <w:p w:rsidR="00AB1D81" w:rsidRPr="00E00E3B" w:rsidRDefault="00AB1D81" w:rsidP="00E163C9">
      <w:pPr>
        <w:ind w:left="1134" w:hanging="568"/>
        <w:jc w:val="both"/>
      </w:pPr>
      <w:r w:rsidRPr="00E00E3B">
        <w:t>e)</w:t>
      </w:r>
      <w:r w:rsidRPr="00E00E3B">
        <w:tab/>
      </w:r>
      <w:r w:rsidRPr="005F4E96">
        <w:rPr>
          <w:b/>
        </w:rPr>
        <w:t>Genel ağırlıklı not ortalaması(GANO):</w:t>
      </w:r>
      <w:r w:rsidRPr="00E00E3B">
        <w:t xml:space="preserve"> Öğrencinin hazırlık sınıfı hariç, geçiş yapmak istediği döneme kadar almış olduğu tüm derslerin kredilerine göre ağırlıklı not ortalamalarını,</w:t>
      </w:r>
    </w:p>
    <w:p w:rsidR="00AB1D81" w:rsidRPr="00E00E3B" w:rsidRDefault="00AB1D81" w:rsidP="00E163C9">
      <w:pPr>
        <w:pStyle w:val="AltMaddeler"/>
        <w:rPr>
          <w:rFonts w:ascii="Times New Roman" w:hAnsi="Times New Roman"/>
          <w:sz w:val="24"/>
          <w:szCs w:val="24"/>
        </w:rPr>
      </w:pPr>
      <w:r w:rsidRPr="00E00E3B">
        <w:rPr>
          <w:rFonts w:ascii="Times New Roman" w:hAnsi="Times New Roman"/>
          <w:sz w:val="24"/>
          <w:szCs w:val="24"/>
        </w:rPr>
        <w:t>f)</w:t>
      </w:r>
      <w:r w:rsidRPr="00E00E3B">
        <w:rPr>
          <w:rFonts w:ascii="Times New Roman" w:hAnsi="Times New Roman"/>
          <w:sz w:val="24"/>
          <w:szCs w:val="24"/>
        </w:rPr>
        <w:tab/>
      </w:r>
      <w:r w:rsidRPr="005F4E96">
        <w:rPr>
          <w:rFonts w:ascii="Times New Roman" w:hAnsi="Times New Roman"/>
          <w:b/>
          <w:sz w:val="24"/>
          <w:szCs w:val="24"/>
        </w:rPr>
        <w:t>İlgili yönetim kurulu:</w:t>
      </w:r>
      <w:r w:rsidRPr="00E00E3B">
        <w:rPr>
          <w:rFonts w:ascii="Times New Roman" w:hAnsi="Times New Roman"/>
          <w:sz w:val="24"/>
          <w:szCs w:val="24"/>
        </w:rPr>
        <w:t xml:space="preserve"> Fakültelerde fakülte yönetim kurulunu, yüksekokullarda yüksekokul yönetim kurulunu, konservatuvarlarda konservatuvar yönetim kurulunu, meslek yüksekokullarında meslek yüksekokulu yönetim kurulunu,</w:t>
      </w:r>
    </w:p>
    <w:p w:rsidR="00AB1D81" w:rsidRPr="00E00E3B" w:rsidRDefault="00AB1D81" w:rsidP="00E163C9">
      <w:pPr>
        <w:pStyle w:val="AltMaddeler"/>
        <w:rPr>
          <w:rFonts w:ascii="Times New Roman" w:hAnsi="Times New Roman"/>
          <w:sz w:val="24"/>
          <w:szCs w:val="24"/>
        </w:rPr>
      </w:pPr>
      <w:r w:rsidRPr="00E00E3B">
        <w:rPr>
          <w:rFonts w:ascii="Times New Roman" w:hAnsi="Times New Roman"/>
          <w:sz w:val="24"/>
          <w:szCs w:val="24"/>
        </w:rPr>
        <w:t>g)</w:t>
      </w:r>
      <w:r w:rsidRPr="00E00E3B">
        <w:rPr>
          <w:rFonts w:ascii="Times New Roman" w:hAnsi="Times New Roman"/>
          <w:sz w:val="24"/>
          <w:szCs w:val="24"/>
        </w:rPr>
        <w:tab/>
      </w:r>
      <w:r w:rsidRPr="005F4E96">
        <w:rPr>
          <w:rFonts w:ascii="Times New Roman" w:hAnsi="Times New Roman"/>
          <w:b/>
          <w:sz w:val="24"/>
          <w:szCs w:val="24"/>
        </w:rPr>
        <w:t>İntibak programı:</w:t>
      </w:r>
      <w:r w:rsidRPr="00E00E3B">
        <w:rPr>
          <w:rFonts w:ascii="Times New Roman" w:hAnsi="Times New Roman"/>
          <w:sz w:val="24"/>
          <w:szCs w:val="24"/>
        </w:rPr>
        <w:t xml:space="preserve"> Diploma programları arasında geçiş yapılması halinde, geçiş yapılan diploma programının müfredatına uyum sağlamak amacıyla ilave ders ve uygulamalardan oluşan programı,</w:t>
      </w:r>
    </w:p>
    <w:p w:rsidR="00AB1D81" w:rsidRPr="00E00E3B" w:rsidRDefault="005F4E96" w:rsidP="00E163C9">
      <w:pPr>
        <w:pStyle w:val="AltMaddeler"/>
        <w:rPr>
          <w:rFonts w:ascii="Times New Roman" w:hAnsi="Times New Roman"/>
          <w:sz w:val="24"/>
          <w:szCs w:val="24"/>
        </w:rPr>
      </w:pPr>
      <w:r>
        <w:rPr>
          <w:rFonts w:ascii="Times New Roman" w:hAnsi="Times New Roman"/>
          <w:sz w:val="24"/>
          <w:szCs w:val="24"/>
        </w:rPr>
        <w:lastRenderedPageBreak/>
        <w:t>h</w:t>
      </w:r>
      <w:r w:rsidR="00AB1D81" w:rsidRPr="00E00E3B">
        <w:rPr>
          <w:rFonts w:ascii="Times New Roman" w:hAnsi="Times New Roman"/>
          <w:sz w:val="24"/>
          <w:szCs w:val="24"/>
        </w:rPr>
        <w:t>)</w:t>
      </w:r>
      <w:r w:rsidR="00AB1D81" w:rsidRPr="00E00E3B">
        <w:rPr>
          <w:rFonts w:ascii="Times New Roman" w:hAnsi="Times New Roman"/>
          <w:sz w:val="24"/>
          <w:szCs w:val="24"/>
        </w:rPr>
        <w:tab/>
      </w:r>
      <w:r w:rsidR="00AB1D81" w:rsidRPr="005F4E96">
        <w:rPr>
          <w:rFonts w:ascii="Times New Roman" w:hAnsi="Times New Roman"/>
          <w:b/>
          <w:sz w:val="24"/>
          <w:szCs w:val="24"/>
        </w:rPr>
        <w:t>Not durum çizelgesi (Transkript):</w:t>
      </w:r>
      <w:r w:rsidR="00AB1D81" w:rsidRPr="00E00E3B">
        <w:rPr>
          <w:rFonts w:ascii="Times New Roman" w:hAnsi="Times New Roman"/>
          <w:sz w:val="24"/>
          <w:szCs w:val="24"/>
        </w:rPr>
        <w:t xml:space="preserve"> Öğrenim süresi içinde alınan derslerin, isim, kredi ve başarı notlarının topluca yazıldığı belgeyi,</w:t>
      </w:r>
    </w:p>
    <w:p w:rsidR="00AB1D81" w:rsidRPr="00E00E3B" w:rsidRDefault="005F4E96" w:rsidP="00E163C9">
      <w:pPr>
        <w:pStyle w:val="AltMaddeler"/>
        <w:rPr>
          <w:rFonts w:ascii="Times New Roman" w:hAnsi="Times New Roman"/>
          <w:sz w:val="24"/>
          <w:szCs w:val="24"/>
        </w:rPr>
      </w:pPr>
      <w:r>
        <w:rPr>
          <w:rFonts w:ascii="Times New Roman" w:hAnsi="Times New Roman"/>
          <w:sz w:val="24"/>
          <w:szCs w:val="24"/>
        </w:rPr>
        <w:t>ı</w:t>
      </w:r>
      <w:r w:rsidR="00AB1D81" w:rsidRPr="00E00E3B">
        <w:rPr>
          <w:rFonts w:ascii="Times New Roman" w:hAnsi="Times New Roman"/>
          <w:sz w:val="24"/>
          <w:szCs w:val="24"/>
        </w:rPr>
        <w:t>)</w:t>
      </w:r>
      <w:r w:rsidR="00AB1D81" w:rsidRPr="00E00E3B">
        <w:rPr>
          <w:rFonts w:ascii="Times New Roman" w:hAnsi="Times New Roman"/>
          <w:sz w:val="24"/>
          <w:szCs w:val="24"/>
        </w:rPr>
        <w:tab/>
      </w:r>
      <w:r w:rsidR="00AB1D81" w:rsidRPr="005F4E96">
        <w:rPr>
          <w:rFonts w:ascii="Times New Roman" w:hAnsi="Times New Roman"/>
          <w:b/>
          <w:sz w:val="24"/>
          <w:szCs w:val="24"/>
        </w:rPr>
        <w:t>Taban puan:</w:t>
      </w:r>
      <w:r w:rsidR="00AB1D81" w:rsidRPr="00E00E3B">
        <w:rPr>
          <w:rFonts w:ascii="Times New Roman" w:hAnsi="Times New Roman"/>
          <w:sz w:val="24"/>
          <w:szCs w:val="24"/>
        </w:rPr>
        <w:t xml:space="preserve"> Bir yükseköğretim kurumunun diploma programına Öğrenci Seçme ve Yerleştirme Merkezi (ÖSYM) tarafından merkezi sınavla yerleştirilen en düşük puanlı öğrencinin giriş puanını,</w:t>
      </w:r>
    </w:p>
    <w:p w:rsidR="00AB1D81" w:rsidRPr="00E00E3B" w:rsidRDefault="005F4E96" w:rsidP="00E163C9">
      <w:pPr>
        <w:pStyle w:val="AltMaddeler"/>
        <w:rPr>
          <w:rFonts w:ascii="Times New Roman" w:hAnsi="Times New Roman"/>
          <w:sz w:val="24"/>
          <w:szCs w:val="24"/>
        </w:rPr>
      </w:pPr>
      <w:r>
        <w:rPr>
          <w:rFonts w:ascii="Times New Roman" w:hAnsi="Times New Roman"/>
          <w:sz w:val="24"/>
          <w:szCs w:val="24"/>
        </w:rPr>
        <w:t>i</w:t>
      </w:r>
      <w:r w:rsidR="00AB1D81" w:rsidRPr="00E00E3B">
        <w:rPr>
          <w:rFonts w:ascii="Times New Roman" w:hAnsi="Times New Roman"/>
          <w:sz w:val="24"/>
          <w:szCs w:val="24"/>
        </w:rPr>
        <w:t>)</w:t>
      </w:r>
      <w:r w:rsidR="00AB1D81" w:rsidRPr="00E00E3B">
        <w:rPr>
          <w:rFonts w:ascii="Times New Roman" w:hAnsi="Times New Roman"/>
          <w:sz w:val="24"/>
          <w:szCs w:val="24"/>
        </w:rPr>
        <w:tab/>
      </w:r>
      <w:r w:rsidR="00AB1D81" w:rsidRPr="005F4E96">
        <w:rPr>
          <w:rFonts w:ascii="Times New Roman" w:hAnsi="Times New Roman"/>
          <w:b/>
          <w:sz w:val="24"/>
          <w:szCs w:val="24"/>
        </w:rPr>
        <w:t>Yatay geçiş:</w:t>
      </w:r>
      <w:r w:rsidR="00AB1D81" w:rsidRPr="00E00E3B">
        <w:rPr>
          <w:rFonts w:ascii="Times New Roman" w:hAnsi="Times New Roman"/>
          <w:sz w:val="24"/>
          <w:szCs w:val="24"/>
        </w:rPr>
        <w:t xml:space="preserve"> Bir yükseköğretim kurumunda kayıtlı olan öğrencinin bu Yönergedeki esaslar çerçevesinde, diğer diploma programlarında öğrenime devam etme hakkı kazanmasını,</w:t>
      </w:r>
    </w:p>
    <w:p w:rsidR="00AB1D81" w:rsidRDefault="005F4E96" w:rsidP="00CB1878">
      <w:pPr>
        <w:pStyle w:val="AltMaddeler"/>
        <w:rPr>
          <w:rFonts w:ascii="Times New Roman" w:hAnsi="Times New Roman"/>
          <w:sz w:val="24"/>
          <w:szCs w:val="24"/>
        </w:rPr>
      </w:pPr>
      <w:r>
        <w:rPr>
          <w:rFonts w:ascii="Times New Roman" w:hAnsi="Times New Roman"/>
          <w:sz w:val="24"/>
          <w:szCs w:val="24"/>
        </w:rPr>
        <w:t>j</w:t>
      </w:r>
      <w:r w:rsidR="00AB1D81" w:rsidRPr="00E00E3B">
        <w:rPr>
          <w:rFonts w:ascii="Times New Roman" w:hAnsi="Times New Roman"/>
          <w:sz w:val="24"/>
          <w:szCs w:val="24"/>
        </w:rPr>
        <w:t>)</w:t>
      </w:r>
      <w:r w:rsidR="00AB1D81" w:rsidRPr="00E00E3B">
        <w:rPr>
          <w:rFonts w:ascii="Times New Roman" w:hAnsi="Times New Roman"/>
          <w:sz w:val="24"/>
          <w:szCs w:val="24"/>
        </w:rPr>
        <w:tab/>
      </w:r>
      <w:r w:rsidR="00AB1D81" w:rsidRPr="005F4E96">
        <w:rPr>
          <w:rFonts w:ascii="Times New Roman" w:hAnsi="Times New Roman"/>
          <w:b/>
          <w:sz w:val="24"/>
          <w:szCs w:val="24"/>
        </w:rPr>
        <w:t xml:space="preserve">Birim: </w:t>
      </w:r>
      <w:r w:rsidR="00AB1D81" w:rsidRPr="00E00E3B">
        <w:rPr>
          <w:rFonts w:ascii="Times New Roman" w:hAnsi="Times New Roman"/>
          <w:sz w:val="24"/>
          <w:szCs w:val="24"/>
        </w:rPr>
        <w:t>Gaziantep Üniversitesi Fakülte, Yüksekokul, Konservatuvar ve Meslek Yüksekokullarınıifade eder.</w:t>
      </w:r>
    </w:p>
    <w:p w:rsidR="00CB1878" w:rsidRPr="00E00E3B" w:rsidRDefault="00CB1878" w:rsidP="00CB1878">
      <w:pPr>
        <w:pStyle w:val="AltMaddeler"/>
        <w:rPr>
          <w:rFonts w:ascii="Times New Roman" w:hAnsi="Times New Roman"/>
          <w:sz w:val="24"/>
          <w:szCs w:val="24"/>
        </w:rPr>
      </w:pPr>
    </w:p>
    <w:p w:rsidR="00057A5D" w:rsidRPr="00E00E3B" w:rsidRDefault="00057A5D" w:rsidP="00502172">
      <w:pPr>
        <w:pStyle w:val="Default"/>
        <w:jc w:val="center"/>
      </w:pPr>
      <w:r w:rsidRPr="00E00E3B">
        <w:rPr>
          <w:b/>
          <w:bCs/>
        </w:rPr>
        <w:t>İKİNCİ BÖLÜM</w:t>
      </w:r>
    </w:p>
    <w:p w:rsidR="0018671A" w:rsidRDefault="0018671A" w:rsidP="00502172">
      <w:pPr>
        <w:pStyle w:val="Default"/>
        <w:jc w:val="center"/>
        <w:rPr>
          <w:b/>
          <w:bCs/>
        </w:rPr>
      </w:pPr>
      <w:r>
        <w:rPr>
          <w:b/>
          <w:bCs/>
        </w:rPr>
        <w:t>Kurum içi ve Kurumlar arası Yatay geçişlere ilişkin</w:t>
      </w:r>
    </w:p>
    <w:p w:rsidR="00057A5D" w:rsidRPr="00E00E3B" w:rsidRDefault="00057A5D" w:rsidP="00502172">
      <w:pPr>
        <w:pStyle w:val="Default"/>
        <w:jc w:val="center"/>
        <w:rPr>
          <w:b/>
          <w:bCs/>
        </w:rPr>
      </w:pPr>
      <w:r w:rsidRPr="00E00E3B">
        <w:rPr>
          <w:b/>
          <w:bCs/>
        </w:rPr>
        <w:t>Genel İlkeler</w:t>
      </w:r>
    </w:p>
    <w:p w:rsidR="00057A5D" w:rsidRPr="00E00E3B" w:rsidRDefault="00057A5D" w:rsidP="00502172">
      <w:pPr>
        <w:pStyle w:val="Default"/>
        <w:jc w:val="center"/>
      </w:pPr>
    </w:p>
    <w:p w:rsidR="00057A5D" w:rsidRPr="00E00E3B" w:rsidRDefault="00057A5D" w:rsidP="00E9238C">
      <w:pPr>
        <w:pStyle w:val="Default"/>
        <w:jc w:val="both"/>
      </w:pPr>
      <w:r w:rsidRPr="00E00E3B">
        <w:rPr>
          <w:b/>
          <w:bCs/>
        </w:rPr>
        <w:t xml:space="preserve">Kontenjan </w:t>
      </w:r>
    </w:p>
    <w:p w:rsidR="00155D8E" w:rsidRPr="00155D8E" w:rsidRDefault="00057A5D" w:rsidP="00E9238C">
      <w:pPr>
        <w:pStyle w:val="AklamaMetni"/>
        <w:jc w:val="both"/>
        <w:rPr>
          <w:sz w:val="24"/>
          <w:szCs w:val="24"/>
        </w:rPr>
      </w:pPr>
      <w:r w:rsidRPr="00155D8E">
        <w:rPr>
          <w:b/>
          <w:bCs/>
          <w:sz w:val="24"/>
          <w:szCs w:val="24"/>
        </w:rPr>
        <w:t xml:space="preserve">MADDE 5 – (1) </w:t>
      </w:r>
      <w:r w:rsidRPr="00155D8E">
        <w:rPr>
          <w:sz w:val="24"/>
          <w:szCs w:val="24"/>
        </w:rPr>
        <w:t xml:space="preserve">Farklı yükseköğretim kurumlarının diploma </w:t>
      </w:r>
      <w:r w:rsidR="00155D8E" w:rsidRPr="00155D8E">
        <w:rPr>
          <w:sz w:val="24"/>
          <w:szCs w:val="24"/>
        </w:rPr>
        <w:t xml:space="preserve">programları arasında </w:t>
      </w:r>
    </w:p>
    <w:p w:rsidR="00057A5D" w:rsidRPr="00155D8E" w:rsidRDefault="00057A5D" w:rsidP="00B44FE4">
      <w:pPr>
        <w:pStyle w:val="Default"/>
        <w:jc w:val="both"/>
      </w:pPr>
      <w:r w:rsidRPr="00155D8E">
        <w:t>veya aynı yükseköğretim kurumu içindeki di</w:t>
      </w:r>
      <w:r w:rsidR="00E75943" w:rsidRPr="00155D8E">
        <w:t>ploma programları arasında</w:t>
      </w:r>
      <w:r w:rsidR="00B44FE4">
        <w:t xml:space="preserve"> önceden ilan edilen kontenjan</w:t>
      </w:r>
      <w:r w:rsidRPr="00155D8E">
        <w:t xml:space="preserve"> ve geçiş şartları çerçevesinde geçiş yapılabilir. </w:t>
      </w:r>
    </w:p>
    <w:p w:rsidR="00057A5D" w:rsidRPr="00155D8E" w:rsidRDefault="00057A5D" w:rsidP="00155D8E">
      <w:pPr>
        <w:pStyle w:val="Default"/>
        <w:jc w:val="both"/>
      </w:pPr>
      <w:r w:rsidRPr="00155D8E">
        <w:rPr>
          <w:b/>
          <w:bCs/>
        </w:rPr>
        <w:t xml:space="preserve">(2) </w:t>
      </w:r>
      <w:r w:rsidRPr="00155D8E">
        <w:t>ÖSYM tarafından yapılan yerleştirmelerde</w:t>
      </w:r>
      <w:r w:rsidR="00155D8E">
        <w:t>,</w:t>
      </w:r>
      <w:r w:rsidRPr="00155D8E">
        <w:t xml:space="preserve"> kontenjan sınırlaması bulunmayan diploma programlarına yatay geçişlerde kontenjan sınırlaması uygulanmaz. </w:t>
      </w:r>
    </w:p>
    <w:p w:rsidR="001670F8" w:rsidRPr="00E00E3B" w:rsidRDefault="001670F8" w:rsidP="00E163C9">
      <w:pPr>
        <w:pStyle w:val="Default"/>
        <w:jc w:val="both"/>
        <w:rPr>
          <w:b/>
          <w:bCs/>
        </w:rPr>
      </w:pPr>
    </w:p>
    <w:p w:rsidR="00057A5D" w:rsidRPr="00E00E3B" w:rsidRDefault="00057A5D" w:rsidP="00E163C9">
      <w:pPr>
        <w:pStyle w:val="Default"/>
        <w:jc w:val="both"/>
      </w:pPr>
      <w:r w:rsidRPr="00E00E3B">
        <w:rPr>
          <w:b/>
          <w:bCs/>
        </w:rPr>
        <w:t xml:space="preserve">Geçişler </w:t>
      </w:r>
    </w:p>
    <w:p w:rsidR="00057A5D" w:rsidRPr="00E00E3B" w:rsidRDefault="00057A5D" w:rsidP="00E163C9">
      <w:pPr>
        <w:pStyle w:val="Default"/>
        <w:jc w:val="both"/>
      </w:pPr>
      <w:r w:rsidRPr="00E00E3B">
        <w:rPr>
          <w:b/>
          <w:bCs/>
        </w:rPr>
        <w:t xml:space="preserve">MADDE 6 </w:t>
      </w:r>
      <w:r w:rsidRPr="00E00E3B">
        <w:t xml:space="preserve">– </w:t>
      </w:r>
      <w:r w:rsidRPr="00A83226">
        <w:rPr>
          <w:b/>
        </w:rPr>
        <w:t>(1)</w:t>
      </w:r>
      <w:proofErr w:type="spellStart"/>
      <w:r w:rsidRPr="00E00E3B">
        <w:t>Önlisans</w:t>
      </w:r>
      <w:proofErr w:type="spellEnd"/>
      <w:r w:rsidRPr="00E00E3B">
        <w:t xml:space="preserve"> diploma programlarının ilk yarıyılı ile son yarıyılına ve lisans diploma programlarının ilk iki yarıyılı/ ilk yılı ile son iki yarıyılına/ son yılına yatay geçiş yapılamaz. </w:t>
      </w:r>
    </w:p>
    <w:p w:rsidR="00057A5D" w:rsidRPr="00E00E3B" w:rsidRDefault="00057A5D" w:rsidP="00E163C9">
      <w:pPr>
        <w:pStyle w:val="Default"/>
        <w:jc w:val="both"/>
      </w:pPr>
      <w:r w:rsidRPr="00E00E3B">
        <w:rPr>
          <w:b/>
          <w:bCs/>
        </w:rPr>
        <w:t xml:space="preserve">(2) </w:t>
      </w:r>
      <w:r w:rsidRPr="00E00E3B">
        <w:t xml:space="preserve">Üniversitede aynı diploma programlarında birinci öğretimden ikinci öğretime kontenjan sınırlaması olmaksızın yatay geçiş yapılabilir. Ancak, ikinci öğretim diploma programına geçiş yapan öğrenciler ikinci öğretim ücreti öderler. </w:t>
      </w:r>
    </w:p>
    <w:p w:rsidR="00057A5D" w:rsidRPr="00E00E3B" w:rsidRDefault="00057A5D" w:rsidP="00E163C9">
      <w:pPr>
        <w:pStyle w:val="Default"/>
        <w:jc w:val="both"/>
      </w:pPr>
      <w:r w:rsidRPr="00E00E3B">
        <w:rPr>
          <w:b/>
          <w:bCs/>
        </w:rPr>
        <w:t xml:space="preserve">(3) </w:t>
      </w:r>
      <w:r w:rsidRPr="00E00E3B">
        <w:t xml:space="preserve">Üniversitede ikinci öğretimden sadece ikinci öğretim diploma programlarına yatay geçiş yapılabilir. Ancak </w:t>
      </w:r>
      <w:r w:rsidR="00BE3412" w:rsidRPr="00BE3412">
        <w:t xml:space="preserve">başarı bakımından bulunduğu sınıfın ilk yüzde onuna girerek bir üst sınıfa geçen </w:t>
      </w:r>
      <w:r w:rsidRPr="00BE3412">
        <w:t>öğrenciler</w:t>
      </w:r>
      <w:r w:rsidR="00CF3BF7">
        <w:t>,</w:t>
      </w:r>
      <w:r w:rsidRPr="00BE3412">
        <w:t xml:space="preserve"> birinci öğretim diploma programlarına kontenjan dâhilinde yatay geçiş</w:t>
      </w:r>
      <w:r w:rsidRPr="00E00E3B">
        <w:t xml:space="preserve"> yapabilirler. </w:t>
      </w:r>
      <w:r w:rsidRPr="00EE03AE">
        <w:t>Geçiş yapan öğrenciler</w:t>
      </w:r>
      <w:r w:rsidR="00CF3BF7" w:rsidRPr="00EE03AE">
        <w:t>,</w:t>
      </w:r>
      <w:r w:rsidR="007B75F6" w:rsidRPr="00EE03AE">
        <w:t xml:space="preserve"> geçiş yaptıkları programın öğrenci katkı payına ilişkin esaslara tabi olurlar.</w:t>
      </w:r>
    </w:p>
    <w:p w:rsidR="00057A5D" w:rsidRPr="00E00E3B" w:rsidRDefault="00057A5D" w:rsidP="00E163C9">
      <w:pPr>
        <w:pStyle w:val="Default"/>
        <w:jc w:val="both"/>
      </w:pPr>
      <w:r w:rsidRPr="00E00E3B">
        <w:rPr>
          <w:b/>
          <w:bCs/>
        </w:rPr>
        <w:t xml:space="preserve">(4) </w:t>
      </w:r>
      <w:r w:rsidRPr="00E00E3B">
        <w:t xml:space="preserve">Açık veya uzaktan öğretimden diğer açık veya uzaktan öğretim diploma programlarına yatay geçiş yapılabilir. Açık ve uzaktan öğretimden örgün öğretim programlarına geçiş yapılabilmesi için öğrencinin öğrenim görmekte olduğu programdaki </w:t>
      </w:r>
      <w:proofErr w:type="spellStart"/>
      <w:r w:rsidRPr="00E00E3B">
        <w:t>G</w:t>
      </w:r>
      <w:r w:rsidR="00CF4A6E" w:rsidRPr="00E00E3B">
        <w:t>A</w:t>
      </w:r>
      <w:r w:rsidRPr="00E00E3B">
        <w:t>NO’sunun</w:t>
      </w:r>
      <w:proofErr w:type="spellEnd"/>
      <w:r w:rsidRPr="00E00E3B">
        <w:t xml:space="preserve"> 100 üze</w:t>
      </w:r>
      <w:r w:rsidR="00E75943">
        <w:t>rinden 80 veya üzeri olması ve</w:t>
      </w:r>
      <w:r w:rsidRPr="00E00E3B">
        <w:t xml:space="preserve"> kayıt olduğu yıldaki merkezi yerleştirme puanının geçmek istediği üniversitenin diploma programının o yılki taban puanına eşit veya yüksek olması gerekir. </w:t>
      </w:r>
    </w:p>
    <w:p w:rsidR="00057A5D" w:rsidRPr="00E00E3B" w:rsidRDefault="00057A5D" w:rsidP="00E163C9">
      <w:pPr>
        <w:pStyle w:val="Default"/>
        <w:jc w:val="both"/>
      </w:pPr>
      <w:r w:rsidRPr="00E00E3B">
        <w:rPr>
          <w:b/>
          <w:bCs/>
        </w:rPr>
        <w:t xml:space="preserve">(5) </w:t>
      </w:r>
      <w:r w:rsidRPr="00E00E3B">
        <w:t xml:space="preserve">Birinci veya ikinci öğretim diploma programlarından açık veya uzaktan eğitim veren diploma programlarına yatay geçiş yapılabilir. </w:t>
      </w:r>
    </w:p>
    <w:p w:rsidR="001670F8" w:rsidRPr="00E00E3B" w:rsidRDefault="001670F8" w:rsidP="00E163C9">
      <w:pPr>
        <w:pStyle w:val="Default"/>
        <w:jc w:val="both"/>
        <w:rPr>
          <w:b/>
          <w:bCs/>
        </w:rPr>
      </w:pPr>
    </w:p>
    <w:p w:rsidR="00057A5D" w:rsidRPr="009E1949" w:rsidRDefault="00057A5D" w:rsidP="00E163C9">
      <w:pPr>
        <w:pStyle w:val="Default"/>
        <w:jc w:val="both"/>
      </w:pPr>
      <w:r w:rsidRPr="009E1949">
        <w:rPr>
          <w:b/>
          <w:bCs/>
        </w:rPr>
        <w:t xml:space="preserve">Başvuru şartları ve değerlendirme </w:t>
      </w:r>
    </w:p>
    <w:p w:rsidR="00057A5D" w:rsidRPr="009E1949" w:rsidRDefault="00057A5D" w:rsidP="00E163C9">
      <w:pPr>
        <w:pStyle w:val="Default"/>
        <w:jc w:val="both"/>
      </w:pPr>
      <w:r w:rsidRPr="009E1949">
        <w:rPr>
          <w:b/>
          <w:bCs/>
        </w:rPr>
        <w:t xml:space="preserve">MADDE 7 – (1) </w:t>
      </w:r>
      <w:r w:rsidRPr="009E1949">
        <w:t xml:space="preserve">Diploma programları arasında yatay geçiş başvuruları, sadece ilan edilen süre içerisinde yapılır. </w:t>
      </w:r>
    </w:p>
    <w:p w:rsidR="00057A5D" w:rsidRPr="009E1949" w:rsidRDefault="00057A5D" w:rsidP="00E163C9">
      <w:pPr>
        <w:pStyle w:val="Default"/>
        <w:jc w:val="both"/>
      </w:pPr>
      <w:r w:rsidRPr="009E1949">
        <w:rPr>
          <w:b/>
          <w:bCs/>
        </w:rPr>
        <w:t xml:space="preserve">(2) </w:t>
      </w:r>
      <w:r w:rsidRPr="009E1949">
        <w:t>Başvu</w:t>
      </w:r>
      <w:r w:rsidR="00B05274" w:rsidRPr="009E1949">
        <w:t>rularla ilgili ön değerlendirme</w:t>
      </w:r>
      <w:r w:rsidRPr="009E1949">
        <w:t>, ilgili</w:t>
      </w:r>
      <w:r w:rsidR="00E75943" w:rsidRPr="009E1949">
        <w:t>bölüm</w:t>
      </w:r>
      <w:r w:rsidR="00293F67" w:rsidRPr="009E1949">
        <w:t xml:space="preserve"> kurulu</w:t>
      </w:r>
      <w:r w:rsidR="00E75943" w:rsidRPr="009E1949">
        <w:t xml:space="preserve"> ve </w:t>
      </w:r>
      <w:r w:rsidR="0027666B" w:rsidRPr="009E1949">
        <w:t xml:space="preserve">birim </w:t>
      </w:r>
      <w:r w:rsidRPr="009E1949">
        <w:t>yönetim kuru</w:t>
      </w:r>
      <w:r w:rsidR="00293F67" w:rsidRPr="009E1949">
        <w:t>lu</w:t>
      </w:r>
      <w:r w:rsidRPr="009E1949">
        <w:t xml:space="preserve"> tarafından yapılır. </w:t>
      </w:r>
      <w:r w:rsidR="007B75F6" w:rsidRPr="009E1949">
        <w:t>İ</w:t>
      </w:r>
      <w:r w:rsidR="00293F67" w:rsidRPr="009E1949">
        <w:t>lgili bölüm kurulu ve birim yönetim kurulu</w:t>
      </w:r>
      <w:r w:rsidR="00CF4744" w:rsidRPr="009E1949">
        <w:t>tarafından</w:t>
      </w:r>
      <w:r w:rsidRPr="009E1949">
        <w:t xml:space="preserve"> uygun görülen öğrencileri</w:t>
      </w:r>
      <w:r w:rsidR="0027666B" w:rsidRPr="009E1949">
        <w:t>n yatay geçişleri kabul edilir.</w:t>
      </w:r>
    </w:p>
    <w:p w:rsidR="007B75F6" w:rsidRPr="009E1949" w:rsidRDefault="007B75F6" w:rsidP="00E163C9">
      <w:pPr>
        <w:pStyle w:val="Default"/>
        <w:jc w:val="both"/>
      </w:pPr>
      <w:r w:rsidRPr="009E1949">
        <w:rPr>
          <w:b/>
        </w:rPr>
        <w:lastRenderedPageBreak/>
        <w:t>(3)</w:t>
      </w:r>
      <w:r w:rsidRPr="009E1949">
        <w:t xml:space="preserve"> Yıllık müfredat uygulayan programlara geçişler, </w:t>
      </w:r>
      <w:r w:rsidR="002D4F8E" w:rsidRPr="009E1949">
        <w:t>sadece yıllık program uygulayan programlardan yapılabilir.</w:t>
      </w:r>
    </w:p>
    <w:p w:rsidR="00F640E0" w:rsidRPr="009E1949" w:rsidRDefault="007B75F6" w:rsidP="00E163C9">
      <w:pPr>
        <w:jc w:val="both"/>
        <w:rPr>
          <w:b/>
          <w:i/>
        </w:rPr>
      </w:pPr>
      <w:r w:rsidRPr="009E1949">
        <w:rPr>
          <w:b/>
        </w:rPr>
        <w:t>(4</w:t>
      </w:r>
      <w:r w:rsidR="0027666B" w:rsidRPr="009E1949">
        <w:rPr>
          <w:b/>
        </w:rPr>
        <w:t>)</w:t>
      </w:r>
      <w:r w:rsidR="0027666B" w:rsidRPr="009E1949">
        <w:t xml:space="preserve"> Öğrencinin bulunduğu sınıf ve yarıyıldaki tüm derslerinden başarılı olması ve Genel Not Ortalamasının 4.00 üzerinden </w:t>
      </w:r>
      <w:r w:rsidR="00F506DD" w:rsidRPr="009E1949">
        <w:t xml:space="preserve">3.25 </w:t>
      </w:r>
      <w:r w:rsidR="0027666B" w:rsidRPr="009E1949">
        <w:t>olması gerekir.</w:t>
      </w:r>
      <w:r w:rsidR="00F506DD" w:rsidRPr="009E1949">
        <w:rPr>
          <w:rFonts w:eastAsiaTheme="minorHAnsi"/>
          <w:b/>
          <w:bCs/>
          <w:iCs/>
          <w:color w:val="000000"/>
          <w:vertAlign w:val="superscript"/>
          <w:lang w:eastAsia="en-US"/>
        </w:rPr>
        <w:t xml:space="preserve"> Üniversite Senatosunun 29.07.2024 tarih ve 13 </w:t>
      </w:r>
      <w:proofErr w:type="spellStart"/>
      <w:r w:rsidR="00F506DD" w:rsidRPr="009E1949">
        <w:rPr>
          <w:rFonts w:eastAsiaTheme="minorHAnsi"/>
          <w:b/>
          <w:bCs/>
          <w:iCs/>
          <w:color w:val="000000"/>
          <w:vertAlign w:val="superscript"/>
          <w:lang w:eastAsia="en-US"/>
        </w:rPr>
        <w:t>nolu</w:t>
      </w:r>
      <w:proofErr w:type="spellEnd"/>
      <w:r w:rsidR="00F506DD" w:rsidRPr="009E1949">
        <w:rPr>
          <w:rFonts w:eastAsiaTheme="minorHAnsi"/>
          <w:b/>
          <w:bCs/>
          <w:iCs/>
          <w:color w:val="000000"/>
          <w:vertAlign w:val="superscript"/>
          <w:lang w:eastAsia="en-US"/>
        </w:rPr>
        <w:t xml:space="preserve"> toplantısında değiştirildi.</w:t>
      </w:r>
    </w:p>
    <w:p w:rsidR="00E75943" w:rsidRPr="009E1949" w:rsidRDefault="00D47E27" w:rsidP="00E163C9">
      <w:pPr>
        <w:jc w:val="both"/>
        <w:rPr>
          <w:b/>
        </w:rPr>
      </w:pPr>
      <w:r w:rsidRPr="009E1949">
        <w:rPr>
          <w:b/>
        </w:rPr>
        <w:t>(</w:t>
      </w:r>
      <w:r w:rsidR="007B75F6" w:rsidRPr="009E1949">
        <w:rPr>
          <w:b/>
        </w:rPr>
        <w:t>5</w:t>
      </w:r>
      <w:r w:rsidRPr="009E1949">
        <w:rPr>
          <w:b/>
        </w:rPr>
        <w:t>)</w:t>
      </w:r>
      <w:r w:rsidRPr="009E1949">
        <w:t xml:space="preserve"> Öğrencinin üniversiteyi kazandığı yıla ait ÖSYM puanı</w:t>
      </w:r>
      <w:r w:rsidR="00B21E00" w:rsidRPr="009E1949">
        <w:t>,</w:t>
      </w:r>
      <w:r w:rsidRPr="009E1949">
        <w:t xml:space="preserve"> yatay geçiş için başvurduğu bölümün</w:t>
      </w:r>
      <w:r w:rsidR="00964E4F">
        <w:t xml:space="preserve"> </w:t>
      </w:r>
      <w:bookmarkStart w:id="0" w:name="_GoBack"/>
      <w:bookmarkEnd w:id="0"/>
      <w:r w:rsidRPr="009E1949">
        <w:t>lgili yıldaki ÖSYM puanı ile eşit veya en fazla 10 puan</w:t>
      </w:r>
      <w:r w:rsidR="00B21E00" w:rsidRPr="009E1949">
        <w:t xml:space="preserve"> düşük</w:t>
      </w:r>
      <w:r w:rsidR="00F640E0" w:rsidRPr="009E1949">
        <w:t>, Tıp,</w:t>
      </w:r>
      <w:r w:rsidR="00F506DD" w:rsidRPr="009E1949">
        <w:t xml:space="preserve"> </w:t>
      </w:r>
      <w:r w:rsidRPr="009E1949">
        <w:t xml:space="preserve">Diş Hekimliği </w:t>
      </w:r>
      <w:r w:rsidR="00F640E0" w:rsidRPr="009E1949">
        <w:t xml:space="preserve">ve Hukuk Fakülteleri </w:t>
      </w:r>
      <w:r w:rsidRPr="009E1949">
        <w:t xml:space="preserve">için </w:t>
      </w:r>
      <w:r w:rsidR="003E57F1" w:rsidRPr="009E1949">
        <w:t xml:space="preserve">eşit veya </w:t>
      </w:r>
      <w:r w:rsidRPr="009E1949">
        <w:t xml:space="preserve">en fazla 5 puan daha düşük </w:t>
      </w:r>
      <w:r w:rsidR="003E57F1" w:rsidRPr="009E1949">
        <w:t>olmalıdır.</w:t>
      </w:r>
    </w:p>
    <w:p w:rsidR="00E75943" w:rsidRPr="009E1949" w:rsidRDefault="003F7316" w:rsidP="00E163C9">
      <w:pPr>
        <w:jc w:val="both"/>
        <w:rPr>
          <w:b/>
          <w:bCs/>
        </w:rPr>
      </w:pPr>
      <w:r w:rsidRPr="009E1949">
        <w:rPr>
          <w:b/>
        </w:rPr>
        <w:t>(</w:t>
      </w:r>
      <w:r w:rsidR="007B75F6" w:rsidRPr="009E1949">
        <w:rPr>
          <w:b/>
        </w:rPr>
        <w:t>6</w:t>
      </w:r>
      <w:r w:rsidRPr="009E1949">
        <w:rPr>
          <w:b/>
        </w:rPr>
        <w:t>)</w:t>
      </w:r>
      <w:r w:rsidRPr="009E1949">
        <w:t xml:space="preserve"> Yatay geçiş yapacak olan öğrencinin disiplin cezası almamış olması gerekir.</w:t>
      </w:r>
    </w:p>
    <w:p w:rsidR="00E75943" w:rsidRPr="009E1949" w:rsidRDefault="007B75F6" w:rsidP="00E163C9">
      <w:pPr>
        <w:jc w:val="both"/>
        <w:rPr>
          <w:b/>
          <w:bCs/>
        </w:rPr>
      </w:pPr>
      <w:r w:rsidRPr="009E1949">
        <w:rPr>
          <w:b/>
          <w:bCs/>
        </w:rPr>
        <w:t>(7</w:t>
      </w:r>
      <w:r w:rsidR="00F506DD" w:rsidRPr="009E1949">
        <w:rPr>
          <w:b/>
          <w:bCs/>
        </w:rPr>
        <w:t xml:space="preserve">) </w:t>
      </w:r>
      <w:r w:rsidR="003F7316" w:rsidRPr="009E1949">
        <w:t>Kayıt dondurmuş olmak, yatay geçiş hakkından yararlanmak için engel teşkil etmez.</w:t>
      </w:r>
    </w:p>
    <w:p w:rsidR="001670F8" w:rsidRPr="009E1949" w:rsidRDefault="007B75F6" w:rsidP="00E163C9">
      <w:pPr>
        <w:jc w:val="both"/>
      </w:pPr>
      <w:r w:rsidRPr="009E1949">
        <w:rPr>
          <w:b/>
          <w:bCs/>
        </w:rPr>
        <w:t>(8</w:t>
      </w:r>
      <w:r w:rsidR="001670F8" w:rsidRPr="009E1949">
        <w:rPr>
          <w:b/>
          <w:bCs/>
        </w:rPr>
        <w:t xml:space="preserve">) </w:t>
      </w:r>
      <w:r w:rsidR="00E75943" w:rsidRPr="009E1949">
        <w:t xml:space="preserve">Diğer Üniversitelerden Üniversitemize başvurularda </w:t>
      </w:r>
      <w:r w:rsidR="000F11F4" w:rsidRPr="009E1949">
        <w:t>d</w:t>
      </w:r>
      <w:r w:rsidR="001670F8" w:rsidRPr="009E1949">
        <w:t xml:space="preserve">örtlük veya yüzlük sisteme göre elde edilen başarı notlarının birbirine dönüştürülmesinde, Yükseköğretim Yürütme Kurulu tarafından belirlenen dönüştürme tablosu kullanılır. </w:t>
      </w:r>
    </w:p>
    <w:p w:rsidR="00F506DD" w:rsidRPr="009E1949" w:rsidRDefault="007B75F6" w:rsidP="00F506DD">
      <w:pPr>
        <w:jc w:val="both"/>
        <w:rPr>
          <w:b/>
          <w:i/>
        </w:rPr>
      </w:pPr>
      <w:r w:rsidRPr="009E1949">
        <w:rPr>
          <w:b/>
        </w:rPr>
        <w:t>(9</w:t>
      </w:r>
      <w:r w:rsidR="003F7316" w:rsidRPr="009E1949">
        <w:rPr>
          <w:b/>
        </w:rPr>
        <w:t>)</w:t>
      </w:r>
      <w:r w:rsidR="0027666B" w:rsidRPr="009E1949">
        <w:t>Yatay geçiş değerlendirmelerinde öğrencilerin genel not ortalaması</w:t>
      </w:r>
      <w:r w:rsidR="00F506DD" w:rsidRPr="009E1949">
        <w:t xml:space="preserve"> (GANO)</w:t>
      </w:r>
      <w:r w:rsidR="0027666B" w:rsidRPr="009E1949">
        <w:t xml:space="preserve"> ve Üniversi</w:t>
      </w:r>
      <w:r w:rsidR="003F7316" w:rsidRPr="009E1949">
        <w:t>teyi kazandığı yıla ait ÖSYM Puan</w:t>
      </w:r>
      <w:r w:rsidR="0027666B" w:rsidRPr="009E1949">
        <w:t xml:space="preserve">ı esas alınır. </w:t>
      </w:r>
      <w:r w:rsidR="00F640E0" w:rsidRPr="009E1949">
        <w:t xml:space="preserve">Bu puanlar hesaplanırken </w:t>
      </w:r>
      <w:r w:rsidR="00F506DD" w:rsidRPr="009E1949">
        <w:t>“Yatay Geçiş Puanı = ((Öğrencinin ÖSYM yerleşme puanı / Başvurulan programın en düşük yerleşme puanı) x 100) x 0,60</w:t>
      </w:r>
      <w:proofErr w:type="gramStart"/>
      <w:r w:rsidR="00F506DD" w:rsidRPr="009E1949">
        <w:t>)</w:t>
      </w:r>
      <w:proofErr w:type="gramEnd"/>
      <w:r w:rsidR="00F506DD" w:rsidRPr="009E1949">
        <w:t xml:space="preserve"> + ((GANO x 25) x 0,40)”  formülü esas alınarak yatay geçiş puanı hesaplanır.</w:t>
      </w:r>
      <w:r w:rsidR="00F506DD" w:rsidRPr="009E1949">
        <w:rPr>
          <w:rFonts w:eastAsiaTheme="minorHAnsi"/>
          <w:b/>
          <w:bCs/>
          <w:iCs/>
          <w:color w:val="000000"/>
          <w:vertAlign w:val="superscript"/>
          <w:lang w:eastAsia="en-US"/>
        </w:rPr>
        <w:t xml:space="preserve"> Üniversite Senatosunun 29.07.2024 tarih ve 13 </w:t>
      </w:r>
      <w:proofErr w:type="spellStart"/>
      <w:r w:rsidR="00F506DD" w:rsidRPr="009E1949">
        <w:rPr>
          <w:rFonts w:eastAsiaTheme="minorHAnsi"/>
          <w:b/>
          <w:bCs/>
          <w:iCs/>
          <w:color w:val="000000"/>
          <w:vertAlign w:val="superscript"/>
          <w:lang w:eastAsia="en-US"/>
        </w:rPr>
        <w:t>nolu</w:t>
      </w:r>
      <w:proofErr w:type="spellEnd"/>
      <w:r w:rsidR="00F506DD" w:rsidRPr="009E1949">
        <w:rPr>
          <w:rFonts w:eastAsiaTheme="minorHAnsi"/>
          <w:b/>
          <w:bCs/>
          <w:iCs/>
          <w:color w:val="000000"/>
          <w:vertAlign w:val="superscript"/>
          <w:lang w:eastAsia="en-US"/>
        </w:rPr>
        <w:t xml:space="preserve"> toplantısında değiştirildi.</w:t>
      </w:r>
    </w:p>
    <w:p w:rsidR="001670F8" w:rsidRPr="009E1949" w:rsidRDefault="007B75F6" w:rsidP="0018671A">
      <w:pPr>
        <w:shd w:val="clear" w:color="auto" w:fill="FFFFFF"/>
        <w:spacing w:line="240" w:lineRule="atLeast"/>
        <w:jc w:val="both"/>
        <w:rPr>
          <w:vertAlign w:val="superscript"/>
        </w:rPr>
      </w:pPr>
      <w:r w:rsidRPr="009E1949">
        <w:rPr>
          <w:b/>
          <w:bCs/>
        </w:rPr>
        <w:t>10</w:t>
      </w:r>
      <w:r w:rsidR="001670F8" w:rsidRPr="009E1949">
        <w:rPr>
          <w:b/>
          <w:bCs/>
        </w:rPr>
        <w:t xml:space="preserve">) </w:t>
      </w:r>
      <w:r w:rsidR="000D3C0C" w:rsidRPr="009E1949">
        <w:rPr>
          <w:rFonts w:eastAsiaTheme="minorHAnsi"/>
          <w:bCs/>
          <w:iCs/>
          <w:color w:val="000000"/>
          <w:highlight w:val="white"/>
          <w:lang w:val="en-US" w:eastAsia="en-US"/>
        </w:rPr>
        <w:t>Ö</w:t>
      </w:r>
      <w:proofErr w:type="spellStart"/>
      <w:r w:rsidR="000D3C0C" w:rsidRPr="009E1949">
        <w:rPr>
          <w:rFonts w:eastAsiaTheme="minorHAnsi"/>
          <w:bCs/>
          <w:iCs/>
          <w:color w:val="000000"/>
          <w:highlight w:val="white"/>
          <w:lang w:eastAsia="en-US"/>
        </w:rPr>
        <w:t>ğretim</w:t>
      </w:r>
      <w:proofErr w:type="spellEnd"/>
      <w:r w:rsidR="000D3C0C" w:rsidRPr="009E1949">
        <w:rPr>
          <w:rFonts w:eastAsiaTheme="minorHAnsi"/>
          <w:bCs/>
          <w:iCs/>
          <w:color w:val="000000"/>
          <w:highlight w:val="white"/>
          <w:lang w:eastAsia="en-US"/>
        </w:rPr>
        <w:t xml:space="preserve"> dili Türkçe olan diploma programından tamamen veya kısmen yabancı dilde eğitim yapan diploma programlarına geçişte, öğrencilerin yabancı dil şartını sağlaması gerekir, Üniversitemiz Senatosunca tablo-1 de belirtilen geçerli dil puanı bulunmayanlar, akademik takvimde belirlenen Yabancı Dil Hazırlık Sınıfı Yeterlik Sınavına girmek ve başarılı olmak zorundadır.</w:t>
      </w:r>
      <w:r w:rsidR="000D3C0C" w:rsidRPr="009E1949">
        <w:rPr>
          <w:rFonts w:eastAsiaTheme="minorHAnsi"/>
          <w:bCs/>
          <w:iCs/>
          <w:color w:val="000000"/>
          <w:lang w:eastAsia="en-US"/>
        </w:rPr>
        <w:t xml:space="preserve"> </w:t>
      </w:r>
      <w:r w:rsidR="000D3C0C" w:rsidRPr="009E1949">
        <w:rPr>
          <w:rFonts w:eastAsiaTheme="minorHAnsi"/>
          <w:b/>
          <w:bCs/>
          <w:iCs/>
          <w:color w:val="000000"/>
          <w:vertAlign w:val="superscript"/>
          <w:lang w:eastAsia="en-US"/>
        </w:rPr>
        <w:t xml:space="preserve">Üniversite Senatosunun 22.06.2022 tarih ve 13 </w:t>
      </w:r>
      <w:proofErr w:type="spellStart"/>
      <w:r w:rsidR="000D3C0C" w:rsidRPr="009E1949">
        <w:rPr>
          <w:rFonts w:eastAsiaTheme="minorHAnsi"/>
          <w:b/>
          <w:bCs/>
          <w:iCs/>
          <w:color w:val="000000"/>
          <w:vertAlign w:val="superscript"/>
          <w:lang w:eastAsia="en-US"/>
        </w:rPr>
        <w:t>nolu</w:t>
      </w:r>
      <w:proofErr w:type="spellEnd"/>
      <w:r w:rsidR="000D3C0C" w:rsidRPr="009E1949">
        <w:rPr>
          <w:rFonts w:eastAsiaTheme="minorHAnsi"/>
          <w:b/>
          <w:bCs/>
          <w:iCs/>
          <w:color w:val="000000"/>
          <w:vertAlign w:val="superscript"/>
          <w:lang w:eastAsia="en-US"/>
        </w:rPr>
        <w:t xml:space="preserve"> toplantısında değiştirildi.</w:t>
      </w:r>
    </w:p>
    <w:p w:rsidR="001670F8" w:rsidRPr="009E1949" w:rsidRDefault="007B75F6" w:rsidP="00E163C9">
      <w:pPr>
        <w:jc w:val="both"/>
      </w:pPr>
      <w:r w:rsidRPr="009E1949">
        <w:rPr>
          <w:b/>
        </w:rPr>
        <w:t>(11</w:t>
      </w:r>
      <w:r w:rsidR="00A85208" w:rsidRPr="009E1949">
        <w:rPr>
          <w:b/>
        </w:rPr>
        <w:t>)</w:t>
      </w:r>
      <w:r w:rsidR="00E75943" w:rsidRPr="009E1949">
        <w:t xml:space="preserve">Yeterlilik sınavı sonucunda yabancı dille eğitim yapan programlarda </w:t>
      </w:r>
      <w:r w:rsidR="001670F8" w:rsidRPr="009E1949">
        <w:t>en az 65 ve</w:t>
      </w:r>
      <w:r w:rsidR="00B602C3" w:rsidRPr="009E1949">
        <w:t xml:space="preserve"> Yabancı dil üzerine eğitim yapan programlarda</w:t>
      </w:r>
      <w:r w:rsidR="00EA12DA" w:rsidRPr="009E1949">
        <w:t>n</w:t>
      </w:r>
      <w:r w:rsidR="001670F8" w:rsidRPr="009E1949">
        <w:t>İngiliz Dili Edebiyatı</w:t>
      </w:r>
      <w:r w:rsidR="00EA12DA" w:rsidRPr="009E1949">
        <w:t xml:space="preserve"> programı için 80 puan,</w:t>
      </w:r>
      <w:r w:rsidR="001670F8" w:rsidRPr="009E1949">
        <w:t xml:space="preserve"> Eğitim Fakültesi</w:t>
      </w:r>
      <w:r w:rsidR="00B602C3" w:rsidRPr="009E1949">
        <w:t xml:space="preserve"> vb.</w:t>
      </w:r>
      <w:r w:rsidR="00EA12DA" w:rsidRPr="009E1949">
        <w:t xml:space="preserve"> için</w:t>
      </w:r>
      <w:r w:rsidR="001670F8" w:rsidRPr="009E1949">
        <w:t xml:space="preserve"> en az 70 olanların başvuruları Fakülte Yönetim Kurullarınca değerlendirmeye alınır.</w:t>
      </w:r>
    </w:p>
    <w:p w:rsidR="003F7316" w:rsidRPr="00E00E3B" w:rsidRDefault="003F7316" w:rsidP="00E163C9">
      <w:pPr>
        <w:jc w:val="both"/>
      </w:pPr>
    </w:p>
    <w:p w:rsidR="0027666B" w:rsidRPr="007B1F34" w:rsidRDefault="001670F8" w:rsidP="00E163C9">
      <w:pPr>
        <w:jc w:val="both"/>
        <w:rPr>
          <w:b/>
        </w:rPr>
      </w:pPr>
      <w:r w:rsidRPr="007B1F34">
        <w:rPr>
          <w:b/>
        </w:rPr>
        <w:t>Tablo-1</w:t>
      </w:r>
      <w:r w:rsidR="0027666B" w:rsidRPr="007B1F34">
        <w:rPr>
          <w:b/>
        </w:rPr>
        <w:tab/>
      </w:r>
      <w:r w:rsidR="0027666B" w:rsidRPr="007B1F34">
        <w:rPr>
          <w:b/>
        </w:rPr>
        <w:tab/>
      </w:r>
      <w:r w:rsidR="0027666B" w:rsidRPr="007B1F34">
        <w:rPr>
          <w:b/>
        </w:rPr>
        <w:tab/>
      </w:r>
      <w:r w:rsidR="0027666B" w:rsidRPr="007B1F34">
        <w:rPr>
          <w:b/>
        </w:rPr>
        <w:tab/>
      </w:r>
      <w:r w:rsidR="0027666B" w:rsidRPr="007B1F34">
        <w:rPr>
          <w:b/>
        </w:rPr>
        <w:tab/>
      </w:r>
      <w:r w:rsidR="0027666B" w:rsidRPr="007B1F34">
        <w:rPr>
          <w:b/>
        </w:rPr>
        <w:tab/>
      </w:r>
      <w:r w:rsidR="0027666B" w:rsidRPr="007B1F34">
        <w:rPr>
          <w:b/>
        </w:rPr>
        <w:tab/>
      </w:r>
      <w:r w:rsidR="0027666B" w:rsidRPr="007B1F34">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10"/>
        <w:gridCol w:w="2070"/>
        <w:gridCol w:w="1980"/>
        <w:gridCol w:w="2276"/>
      </w:tblGrid>
      <w:tr w:rsidR="00201F2F" w:rsidRPr="00667EAD" w:rsidTr="000600BE">
        <w:tc>
          <w:tcPr>
            <w:tcW w:w="2610" w:type="dxa"/>
            <w:shd w:val="clear" w:color="auto" w:fill="FFFFFF"/>
            <w:tcMar>
              <w:top w:w="0" w:type="dxa"/>
              <w:left w:w="0" w:type="dxa"/>
              <w:bottom w:w="0" w:type="dxa"/>
              <w:right w:w="0" w:type="dxa"/>
            </w:tcMar>
            <w:vAlign w:val="center"/>
            <w:hideMark/>
          </w:tcPr>
          <w:p w:rsidR="00201F2F" w:rsidRPr="009E07C9" w:rsidRDefault="00201F2F" w:rsidP="000600BE">
            <w:pPr>
              <w:spacing w:before="100" w:beforeAutospacing="1" w:after="100" w:afterAutospacing="1" w:line="330" w:lineRule="atLeast"/>
              <w:jc w:val="center"/>
              <w:rPr>
                <w:b/>
                <w:color w:val="000000"/>
              </w:rPr>
            </w:pPr>
            <w:r w:rsidRPr="009E07C9">
              <w:rPr>
                <w:b/>
                <w:color w:val="000000"/>
              </w:rPr>
              <w:t>SINAV TÜRÜ</w:t>
            </w:r>
          </w:p>
        </w:tc>
        <w:tc>
          <w:tcPr>
            <w:tcW w:w="2070" w:type="dxa"/>
            <w:shd w:val="clear" w:color="auto" w:fill="FFFFFF"/>
            <w:vAlign w:val="center"/>
          </w:tcPr>
          <w:p w:rsidR="00201F2F" w:rsidRPr="009E07C9" w:rsidRDefault="00201F2F" w:rsidP="000600BE">
            <w:pPr>
              <w:spacing w:before="100" w:beforeAutospacing="1" w:after="100" w:afterAutospacing="1" w:line="330" w:lineRule="atLeast"/>
              <w:jc w:val="center"/>
              <w:rPr>
                <w:b/>
                <w:color w:val="000000"/>
              </w:rPr>
            </w:pPr>
            <w:r w:rsidRPr="009E07C9">
              <w:rPr>
                <w:b/>
                <w:color w:val="000000"/>
              </w:rPr>
              <w:t>Dil Puanı ile Öğrenci Alan Birimler</w:t>
            </w:r>
          </w:p>
        </w:tc>
        <w:tc>
          <w:tcPr>
            <w:tcW w:w="1980" w:type="dxa"/>
            <w:shd w:val="clear" w:color="auto" w:fill="FFFFFF"/>
            <w:vAlign w:val="center"/>
          </w:tcPr>
          <w:p w:rsidR="00201F2F" w:rsidRPr="009E07C9" w:rsidRDefault="00201F2F" w:rsidP="000600BE">
            <w:pPr>
              <w:spacing w:before="100" w:beforeAutospacing="1" w:after="100" w:afterAutospacing="1" w:line="330" w:lineRule="atLeast"/>
              <w:jc w:val="center"/>
              <w:rPr>
                <w:b/>
                <w:color w:val="000000"/>
              </w:rPr>
            </w:pPr>
            <w:r w:rsidRPr="009E07C9">
              <w:rPr>
                <w:b/>
                <w:color w:val="000000"/>
              </w:rPr>
              <w:t>İngilizce Eğitim Yapan Birimler</w:t>
            </w:r>
          </w:p>
        </w:tc>
        <w:tc>
          <w:tcPr>
            <w:tcW w:w="2276" w:type="dxa"/>
            <w:shd w:val="clear" w:color="auto" w:fill="FFFFFF"/>
            <w:vAlign w:val="center"/>
          </w:tcPr>
          <w:p w:rsidR="00201F2F" w:rsidRPr="009E07C9" w:rsidRDefault="00201F2F" w:rsidP="000600BE">
            <w:pPr>
              <w:spacing w:before="100" w:beforeAutospacing="1" w:after="100" w:afterAutospacing="1" w:line="330" w:lineRule="atLeast"/>
              <w:jc w:val="center"/>
              <w:rPr>
                <w:b/>
                <w:color w:val="000000"/>
              </w:rPr>
            </w:pPr>
            <w:r w:rsidRPr="009E07C9">
              <w:rPr>
                <w:b/>
                <w:color w:val="000000"/>
              </w:rPr>
              <w:t>Türkçe Eğitim Yapan Birimler</w:t>
            </w:r>
          </w:p>
        </w:tc>
      </w:tr>
      <w:tr w:rsidR="00201F2F" w:rsidRPr="00667EAD" w:rsidTr="000600BE">
        <w:tc>
          <w:tcPr>
            <w:tcW w:w="2610" w:type="dxa"/>
            <w:shd w:val="clear" w:color="auto" w:fill="FFFFFF"/>
            <w:tcMar>
              <w:top w:w="0" w:type="dxa"/>
              <w:left w:w="0" w:type="dxa"/>
              <w:bottom w:w="0" w:type="dxa"/>
              <w:right w:w="0" w:type="dxa"/>
            </w:tcMar>
            <w:hideMark/>
          </w:tcPr>
          <w:p w:rsidR="00201F2F" w:rsidRPr="00667EAD" w:rsidRDefault="00201F2F" w:rsidP="000600BE">
            <w:pPr>
              <w:spacing w:before="100" w:beforeAutospacing="1" w:after="100" w:afterAutospacing="1" w:line="330" w:lineRule="atLeast"/>
              <w:jc w:val="both"/>
              <w:rPr>
                <w:color w:val="000000"/>
              </w:rPr>
            </w:pPr>
            <w:r>
              <w:rPr>
                <w:color w:val="000000"/>
              </w:rPr>
              <w:t>YDS/E-YDS/YÖKDİL</w:t>
            </w:r>
          </w:p>
        </w:tc>
        <w:tc>
          <w:tcPr>
            <w:tcW w:w="2070" w:type="dxa"/>
            <w:shd w:val="clear" w:color="auto" w:fill="FFFFFF"/>
          </w:tcPr>
          <w:p w:rsidR="00201F2F" w:rsidRPr="00667EAD" w:rsidRDefault="00201F2F" w:rsidP="000600BE">
            <w:pPr>
              <w:spacing w:before="100" w:beforeAutospacing="1" w:after="100" w:afterAutospacing="1" w:line="330" w:lineRule="atLeast"/>
              <w:jc w:val="both"/>
              <w:rPr>
                <w:color w:val="000000"/>
              </w:rPr>
            </w:pPr>
            <w:r>
              <w:rPr>
                <w:color w:val="000000"/>
              </w:rPr>
              <w:t>70</w:t>
            </w:r>
          </w:p>
        </w:tc>
        <w:tc>
          <w:tcPr>
            <w:tcW w:w="1980" w:type="dxa"/>
            <w:shd w:val="clear" w:color="auto" w:fill="FFFFFF"/>
          </w:tcPr>
          <w:p w:rsidR="00201F2F" w:rsidRPr="00667EAD" w:rsidRDefault="00201F2F" w:rsidP="000600BE">
            <w:pPr>
              <w:spacing w:before="100" w:beforeAutospacing="1" w:after="100" w:afterAutospacing="1" w:line="330" w:lineRule="atLeast"/>
              <w:jc w:val="both"/>
              <w:rPr>
                <w:color w:val="000000"/>
              </w:rPr>
            </w:pPr>
            <w:r>
              <w:rPr>
                <w:color w:val="000000"/>
              </w:rPr>
              <w:t>65</w:t>
            </w:r>
          </w:p>
        </w:tc>
        <w:tc>
          <w:tcPr>
            <w:tcW w:w="2276" w:type="dxa"/>
            <w:shd w:val="clear" w:color="auto" w:fill="FFFFFF"/>
          </w:tcPr>
          <w:p w:rsidR="00201F2F" w:rsidRPr="00667EAD" w:rsidRDefault="00201F2F" w:rsidP="000600BE">
            <w:pPr>
              <w:spacing w:before="100" w:beforeAutospacing="1" w:after="100" w:afterAutospacing="1" w:line="330" w:lineRule="atLeast"/>
              <w:jc w:val="both"/>
              <w:rPr>
                <w:color w:val="000000"/>
              </w:rPr>
            </w:pPr>
            <w:r>
              <w:rPr>
                <w:color w:val="000000"/>
              </w:rPr>
              <w:t>60</w:t>
            </w:r>
          </w:p>
        </w:tc>
      </w:tr>
      <w:tr w:rsidR="00201F2F" w:rsidRPr="00667EAD" w:rsidTr="000600BE">
        <w:tc>
          <w:tcPr>
            <w:tcW w:w="2610" w:type="dxa"/>
            <w:shd w:val="clear" w:color="auto" w:fill="FFFFFF"/>
            <w:tcMar>
              <w:top w:w="0" w:type="dxa"/>
              <w:left w:w="0" w:type="dxa"/>
              <w:bottom w:w="0" w:type="dxa"/>
              <w:right w:w="0" w:type="dxa"/>
            </w:tcMar>
            <w:hideMark/>
          </w:tcPr>
          <w:p w:rsidR="00201F2F" w:rsidRPr="00667EAD" w:rsidRDefault="00201F2F" w:rsidP="000600BE">
            <w:pPr>
              <w:spacing w:before="100" w:beforeAutospacing="1" w:after="100" w:afterAutospacing="1" w:line="330" w:lineRule="atLeast"/>
              <w:jc w:val="both"/>
              <w:rPr>
                <w:color w:val="000000"/>
              </w:rPr>
            </w:pPr>
            <w:r>
              <w:rPr>
                <w:color w:val="000000"/>
              </w:rPr>
              <w:t>TOEFL IBT</w:t>
            </w:r>
          </w:p>
        </w:tc>
        <w:tc>
          <w:tcPr>
            <w:tcW w:w="2070" w:type="dxa"/>
            <w:shd w:val="clear" w:color="auto" w:fill="FFFFFF"/>
          </w:tcPr>
          <w:p w:rsidR="00201F2F" w:rsidRPr="00667EAD" w:rsidRDefault="00201F2F" w:rsidP="000600BE">
            <w:pPr>
              <w:spacing w:before="100" w:beforeAutospacing="1" w:after="100" w:afterAutospacing="1" w:line="330" w:lineRule="atLeast"/>
              <w:jc w:val="both"/>
              <w:rPr>
                <w:color w:val="000000"/>
              </w:rPr>
            </w:pPr>
            <w:r>
              <w:rPr>
                <w:color w:val="000000"/>
              </w:rPr>
              <w:t>84</w:t>
            </w:r>
          </w:p>
        </w:tc>
        <w:tc>
          <w:tcPr>
            <w:tcW w:w="1980" w:type="dxa"/>
            <w:shd w:val="clear" w:color="auto" w:fill="FFFFFF"/>
          </w:tcPr>
          <w:p w:rsidR="00201F2F" w:rsidRPr="00667EAD" w:rsidRDefault="00201F2F" w:rsidP="000600BE">
            <w:pPr>
              <w:spacing w:before="100" w:beforeAutospacing="1" w:after="100" w:afterAutospacing="1" w:line="330" w:lineRule="atLeast"/>
              <w:jc w:val="both"/>
              <w:rPr>
                <w:color w:val="000000"/>
              </w:rPr>
            </w:pPr>
            <w:r>
              <w:rPr>
                <w:color w:val="000000"/>
              </w:rPr>
              <w:t>78</w:t>
            </w:r>
          </w:p>
        </w:tc>
        <w:tc>
          <w:tcPr>
            <w:tcW w:w="2276" w:type="dxa"/>
            <w:shd w:val="clear" w:color="auto" w:fill="FFFFFF"/>
          </w:tcPr>
          <w:p w:rsidR="00201F2F" w:rsidRPr="00667EAD" w:rsidRDefault="00201F2F" w:rsidP="000600BE">
            <w:pPr>
              <w:spacing w:before="100" w:beforeAutospacing="1" w:after="100" w:afterAutospacing="1" w:line="330" w:lineRule="atLeast"/>
              <w:jc w:val="both"/>
              <w:rPr>
                <w:color w:val="000000"/>
              </w:rPr>
            </w:pPr>
            <w:r>
              <w:rPr>
                <w:color w:val="000000"/>
              </w:rPr>
              <w:t>72</w:t>
            </w:r>
          </w:p>
        </w:tc>
      </w:tr>
      <w:tr w:rsidR="00201F2F" w:rsidRPr="00667EAD" w:rsidTr="000600BE">
        <w:tc>
          <w:tcPr>
            <w:tcW w:w="2610" w:type="dxa"/>
            <w:shd w:val="clear" w:color="auto" w:fill="FFFFFF"/>
            <w:tcMar>
              <w:top w:w="0" w:type="dxa"/>
              <w:left w:w="0" w:type="dxa"/>
              <w:bottom w:w="0" w:type="dxa"/>
              <w:right w:w="0" w:type="dxa"/>
            </w:tcMar>
            <w:hideMark/>
          </w:tcPr>
          <w:p w:rsidR="00201F2F" w:rsidRPr="00667EAD" w:rsidRDefault="00201F2F" w:rsidP="000600BE">
            <w:pPr>
              <w:spacing w:before="100" w:beforeAutospacing="1" w:after="100" w:afterAutospacing="1" w:line="330" w:lineRule="atLeast"/>
              <w:jc w:val="both"/>
              <w:rPr>
                <w:color w:val="000000"/>
              </w:rPr>
            </w:pPr>
            <w:r w:rsidRPr="00667EAD">
              <w:rPr>
                <w:color w:val="000000"/>
              </w:rPr>
              <w:t>FCE</w:t>
            </w:r>
          </w:p>
        </w:tc>
        <w:tc>
          <w:tcPr>
            <w:tcW w:w="2070" w:type="dxa"/>
            <w:shd w:val="clear" w:color="auto" w:fill="FFFFFF"/>
          </w:tcPr>
          <w:p w:rsidR="00201F2F" w:rsidRPr="00667EAD" w:rsidRDefault="00201F2F" w:rsidP="000600BE">
            <w:pPr>
              <w:spacing w:before="100" w:beforeAutospacing="1" w:after="100" w:afterAutospacing="1" w:line="330" w:lineRule="atLeast"/>
              <w:jc w:val="both"/>
              <w:rPr>
                <w:color w:val="000000"/>
              </w:rPr>
            </w:pPr>
            <w:r>
              <w:rPr>
                <w:color w:val="000000"/>
              </w:rPr>
              <w:t>C</w:t>
            </w:r>
          </w:p>
        </w:tc>
        <w:tc>
          <w:tcPr>
            <w:tcW w:w="1980" w:type="dxa"/>
            <w:shd w:val="clear" w:color="auto" w:fill="FFFFFF"/>
          </w:tcPr>
          <w:p w:rsidR="00201F2F" w:rsidRPr="00667EAD" w:rsidRDefault="00201F2F" w:rsidP="000600BE">
            <w:pPr>
              <w:spacing w:before="100" w:beforeAutospacing="1" w:after="100" w:afterAutospacing="1" w:line="330" w:lineRule="atLeast"/>
              <w:jc w:val="both"/>
              <w:rPr>
                <w:color w:val="000000"/>
              </w:rPr>
            </w:pPr>
            <w:r>
              <w:rPr>
                <w:color w:val="000000"/>
              </w:rPr>
              <w:t>C</w:t>
            </w:r>
          </w:p>
        </w:tc>
        <w:tc>
          <w:tcPr>
            <w:tcW w:w="2276" w:type="dxa"/>
            <w:shd w:val="clear" w:color="auto" w:fill="FFFFFF"/>
          </w:tcPr>
          <w:p w:rsidR="00201F2F" w:rsidRPr="00667EAD" w:rsidRDefault="00201F2F" w:rsidP="000600BE">
            <w:pPr>
              <w:spacing w:before="100" w:beforeAutospacing="1" w:after="100" w:afterAutospacing="1" w:line="330" w:lineRule="atLeast"/>
              <w:jc w:val="both"/>
              <w:rPr>
                <w:color w:val="000000"/>
              </w:rPr>
            </w:pPr>
            <w:r>
              <w:rPr>
                <w:color w:val="000000"/>
              </w:rPr>
              <w:t>C</w:t>
            </w:r>
          </w:p>
        </w:tc>
      </w:tr>
      <w:tr w:rsidR="00201F2F" w:rsidRPr="00667EAD" w:rsidTr="000600BE">
        <w:tc>
          <w:tcPr>
            <w:tcW w:w="2610" w:type="dxa"/>
            <w:shd w:val="clear" w:color="auto" w:fill="FFFFFF"/>
            <w:tcMar>
              <w:top w:w="0" w:type="dxa"/>
              <w:left w:w="0" w:type="dxa"/>
              <w:bottom w:w="0" w:type="dxa"/>
              <w:right w:w="0" w:type="dxa"/>
            </w:tcMar>
            <w:hideMark/>
          </w:tcPr>
          <w:p w:rsidR="00201F2F" w:rsidRPr="00667EAD" w:rsidRDefault="00201F2F" w:rsidP="000600BE">
            <w:pPr>
              <w:spacing w:before="100" w:beforeAutospacing="1" w:after="100" w:afterAutospacing="1" w:line="330" w:lineRule="atLeast"/>
              <w:jc w:val="both"/>
              <w:rPr>
                <w:color w:val="000000"/>
              </w:rPr>
            </w:pPr>
            <w:r w:rsidRPr="00667EAD">
              <w:rPr>
                <w:color w:val="000000"/>
              </w:rPr>
              <w:t>CAE</w:t>
            </w:r>
          </w:p>
        </w:tc>
        <w:tc>
          <w:tcPr>
            <w:tcW w:w="2070" w:type="dxa"/>
            <w:shd w:val="clear" w:color="auto" w:fill="FFFFFF"/>
          </w:tcPr>
          <w:p w:rsidR="00201F2F" w:rsidRPr="00667EAD" w:rsidRDefault="00201F2F" w:rsidP="000600BE">
            <w:pPr>
              <w:spacing w:before="100" w:beforeAutospacing="1" w:after="100" w:afterAutospacing="1" w:line="330" w:lineRule="atLeast"/>
              <w:jc w:val="both"/>
              <w:rPr>
                <w:color w:val="000000"/>
              </w:rPr>
            </w:pPr>
            <w:r>
              <w:rPr>
                <w:color w:val="000000"/>
              </w:rPr>
              <w:t>C</w:t>
            </w:r>
          </w:p>
        </w:tc>
        <w:tc>
          <w:tcPr>
            <w:tcW w:w="1980" w:type="dxa"/>
            <w:shd w:val="clear" w:color="auto" w:fill="FFFFFF"/>
          </w:tcPr>
          <w:p w:rsidR="00201F2F" w:rsidRPr="00667EAD" w:rsidRDefault="00201F2F" w:rsidP="000600BE">
            <w:pPr>
              <w:spacing w:before="100" w:beforeAutospacing="1" w:after="100" w:afterAutospacing="1" w:line="330" w:lineRule="atLeast"/>
              <w:jc w:val="both"/>
              <w:rPr>
                <w:color w:val="000000"/>
              </w:rPr>
            </w:pPr>
            <w:r>
              <w:rPr>
                <w:color w:val="000000"/>
              </w:rPr>
              <w:t>C</w:t>
            </w:r>
          </w:p>
        </w:tc>
        <w:tc>
          <w:tcPr>
            <w:tcW w:w="2276" w:type="dxa"/>
            <w:shd w:val="clear" w:color="auto" w:fill="FFFFFF"/>
          </w:tcPr>
          <w:p w:rsidR="00201F2F" w:rsidRPr="00667EAD" w:rsidRDefault="00201F2F" w:rsidP="000600BE">
            <w:pPr>
              <w:spacing w:before="100" w:beforeAutospacing="1" w:after="100" w:afterAutospacing="1" w:line="330" w:lineRule="atLeast"/>
              <w:jc w:val="both"/>
              <w:rPr>
                <w:color w:val="000000"/>
              </w:rPr>
            </w:pPr>
            <w:r>
              <w:rPr>
                <w:color w:val="000000"/>
              </w:rPr>
              <w:t>C</w:t>
            </w:r>
          </w:p>
        </w:tc>
      </w:tr>
      <w:tr w:rsidR="00201F2F" w:rsidRPr="00667EAD" w:rsidTr="000600BE">
        <w:tc>
          <w:tcPr>
            <w:tcW w:w="2610" w:type="dxa"/>
            <w:shd w:val="clear" w:color="auto" w:fill="FFFFFF"/>
            <w:tcMar>
              <w:top w:w="0" w:type="dxa"/>
              <w:left w:w="0" w:type="dxa"/>
              <w:bottom w:w="0" w:type="dxa"/>
              <w:right w:w="0" w:type="dxa"/>
            </w:tcMar>
            <w:hideMark/>
          </w:tcPr>
          <w:p w:rsidR="00201F2F" w:rsidRPr="00667EAD" w:rsidRDefault="00201F2F" w:rsidP="000600BE">
            <w:pPr>
              <w:spacing w:before="100" w:beforeAutospacing="1" w:after="100" w:afterAutospacing="1" w:line="330" w:lineRule="atLeast"/>
              <w:jc w:val="both"/>
              <w:rPr>
                <w:color w:val="000000"/>
              </w:rPr>
            </w:pPr>
            <w:r w:rsidRPr="00667EAD">
              <w:rPr>
                <w:color w:val="000000"/>
              </w:rPr>
              <w:t>CPE</w:t>
            </w:r>
          </w:p>
        </w:tc>
        <w:tc>
          <w:tcPr>
            <w:tcW w:w="2070" w:type="dxa"/>
            <w:shd w:val="clear" w:color="auto" w:fill="FFFFFF"/>
          </w:tcPr>
          <w:p w:rsidR="00201F2F" w:rsidRPr="00667EAD" w:rsidRDefault="00201F2F" w:rsidP="000600BE">
            <w:pPr>
              <w:spacing w:before="100" w:beforeAutospacing="1" w:after="100" w:afterAutospacing="1" w:line="330" w:lineRule="atLeast"/>
              <w:jc w:val="both"/>
              <w:rPr>
                <w:color w:val="000000"/>
              </w:rPr>
            </w:pPr>
            <w:r>
              <w:rPr>
                <w:color w:val="000000"/>
              </w:rPr>
              <w:t>C</w:t>
            </w:r>
          </w:p>
        </w:tc>
        <w:tc>
          <w:tcPr>
            <w:tcW w:w="1980" w:type="dxa"/>
            <w:shd w:val="clear" w:color="auto" w:fill="FFFFFF"/>
          </w:tcPr>
          <w:p w:rsidR="00201F2F" w:rsidRPr="00667EAD" w:rsidRDefault="00201F2F" w:rsidP="000600BE">
            <w:pPr>
              <w:spacing w:before="100" w:beforeAutospacing="1" w:after="100" w:afterAutospacing="1" w:line="330" w:lineRule="atLeast"/>
              <w:jc w:val="both"/>
              <w:rPr>
                <w:color w:val="000000"/>
              </w:rPr>
            </w:pPr>
            <w:r>
              <w:rPr>
                <w:color w:val="000000"/>
              </w:rPr>
              <w:t>C</w:t>
            </w:r>
          </w:p>
        </w:tc>
        <w:tc>
          <w:tcPr>
            <w:tcW w:w="2276" w:type="dxa"/>
            <w:shd w:val="clear" w:color="auto" w:fill="FFFFFF"/>
          </w:tcPr>
          <w:p w:rsidR="00201F2F" w:rsidRPr="00667EAD" w:rsidRDefault="00201F2F" w:rsidP="000600BE">
            <w:pPr>
              <w:spacing w:before="100" w:beforeAutospacing="1" w:after="100" w:afterAutospacing="1" w:line="330" w:lineRule="atLeast"/>
              <w:jc w:val="both"/>
              <w:rPr>
                <w:color w:val="000000"/>
              </w:rPr>
            </w:pPr>
            <w:r>
              <w:rPr>
                <w:color w:val="000000"/>
              </w:rPr>
              <w:t>C</w:t>
            </w:r>
          </w:p>
        </w:tc>
      </w:tr>
      <w:tr w:rsidR="00201F2F" w:rsidRPr="00667EAD" w:rsidTr="000600BE">
        <w:tc>
          <w:tcPr>
            <w:tcW w:w="2610" w:type="dxa"/>
            <w:shd w:val="clear" w:color="auto" w:fill="FFFFFF"/>
            <w:tcMar>
              <w:top w:w="0" w:type="dxa"/>
              <w:left w:w="0" w:type="dxa"/>
              <w:bottom w:w="0" w:type="dxa"/>
              <w:right w:w="0" w:type="dxa"/>
            </w:tcMar>
            <w:hideMark/>
          </w:tcPr>
          <w:p w:rsidR="00201F2F" w:rsidRPr="00667EAD" w:rsidRDefault="00201F2F" w:rsidP="000600BE">
            <w:pPr>
              <w:spacing w:before="100" w:beforeAutospacing="1" w:after="100" w:afterAutospacing="1" w:line="330" w:lineRule="atLeast"/>
              <w:jc w:val="both"/>
              <w:rPr>
                <w:color w:val="000000"/>
              </w:rPr>
            </w:pPr>
            <w:proofErr w:type="spellStart"/>
            <w:r>
              <w:rPr>
                <w:color w:val="000000"/>
              </w:rPr>
              <w:t>Pearson</w:t>
            </w:r>
            <w:proofErr w:type="spellEnd"/>
            <w:r>
              <w:rPr>
                <w:color w:val="000000"/>
              </w:rPr>
              <w:t xml:space="preserve"> PTE</w:t>
            </w:r>
          </w:p>
        </w:tc>
        <w:tc>
          <w:tcPr>
            <w:tcW w:w="2070" w:type="dxa"/>
            <w:shd w:val="clear" w:color="auto" w:fill="FFFFFF"/>
          </w:tcPr>
          <w:p w:rsidR="00201F2F" w:rsidRPr="00667EAD" w:rsidRDefault="00201F2F" w:rsidP="000600BE">
            <w:pPr>
              <w:spacing w:before="100" w:beforeAutospacing="1" w:after="100" w:afterAutospacing="1" w:line="330" w:lineRule="atLeast"/>
              <w:jc w:val="both"/>
              <w:rPr>
                <w:color w:val="000000"/>
              </w:rPr>
            </w:pPr>
            <w:r>
              <w:rPr>
                <w:color w:val="000000"/>
              </w:rPr>
              <w:t>71</w:t>
            </w:r>
          </w:p>
        </w:tc>
        <w:tc>
          <w:tcPr>
            <w:tcW w:w="1980" w:type="dxa"/>
            <w:shd w:val="clear" w:color="auto" w:fill="FFFFFF"/>
          </w:tcPr>
          <w:p w:rsidR="00201F2F" w:rsidRPr="00667EAD" w:rsidRDefault="00201F2F" w:rsidP="000600BE">
            <w:pPr>
              <w:spacing w:before="100" w:beforeAutospacing="1" w:after="100" w:afterAutospacing="1" w:line="330" w:lineRule="atLeast"/>
              <w:jc w:val="both"/>
              <w:rPr>
                <w:color w:val="000000"/>
              </w:rPr>
            </w:pPr>
            <w:r>
              <w:rPr>
                <w:color w:val="000000"/>
              </w:rPr>
              <w:t>67</w:t>
            </w:r>
          </w:p>
        </w:tc>
        <w:tc>
          <w:tcPr>
            <w:tcW w:w="2276" w:type="dxa"/>
            <w:shd w:val="clear" w:color="auto" w:fill="FFFFFF"/>
          </w:tcPr>
          <w:p w:rsidR="00201F2F" w:rsidRPr="00667EAD" w:rsidRDefault="00201F2F" w:rsidP="000600BE">
            <w:pPr>
              <w:spacing w:before="100" w:beforeAutospacing="1" w:after="100" w:afterAutospacing="1" w:line="330" w:lineRule="atLeast"/>
              <w:jc w:val="both"/>
              <w:rPr>
                <w:color w:val="000000"/>
              </w:rPr>
            </w:pPr>
            <w:r>
              <w:rPr>
                <w:color w:val="000000"/>
              </w:rPr>
              <w:t>55</w:t>
            </w:r>
          </w:p>
        </w:tc>
      </w:tr>
    </w:tbl>
    <w:p w:rsidR="00CF7B3C" w:rsidRDefault="00CF7B3C" w:rsidP="00E163C9">
      <w:pPr>
        <w:autoSpaceDE w:val="0"/>
        <w:autoSpaceDN w:val="0"/>
        <w:adjustRightInd w:val="0"/>
        <w:jc w:val="both"/>
        <w:rPr>
          <w:rFonts w:eastAsiaTheme="minorHAnsi"/>
          <w:b/>
          <w:bCs/>
          <w:color w:val="000000"/>
          <w:lang w:eastAsia="en-US"/>
        </w:rPr>
      </w:pPr>
    </w:p>
    <w:p w:rsidR="00A85208" w:rsidRPr="00A85208" w:rsidRDefault="00A85208" w:rsidP="00E163C9">
      <w:pPr>
        <w:autoSpaceDE w:val="0"/>
        <w:autoSpaceDN w:val="0"/>
        <w:adjustRightInd w:val="0"/>
        <w:jc w:val="both"/>
        <w:rPr>
          <w:rFonts w:eastAsiaTheme="minorHAnsi"/>
          <w:color w:val="000000"/>
          <w:lang w:eastAsia="en-US"/>
        </w:rPr>
      </w:pPr>
      <w:r w:rsidRPr="00A85208">
        <w:rPr>
          <w:rFonts w:eastAsiaTheme="minorHAnsi"/>
          <w:b/>
          <w:bCs/>
          <w:color w:val="000000"/>
          <w:lang w:eastAsia="en-US"/>
        </w:rPr>
        <w:t>Sonuç</w:t>
      </w:r>
      <w:r w:rsidR="007F4364" w:rsidRPr="00E00E3B">
        <w:rPr>
          <w:rFonts w:eastAsiaTheme="minorHAnsi"/>
          <w:b/>
          <w:bCs/>
          <w:color w:val="000000"/>
          <w:lang w:eastAsia="en-US"/>
        </w:rPr>
        <w:t>ların ilanı ve intibak işlemleri</w:t>
      </w:r>
    </w:p>
    <w:p w:rsidR="00A85208" w:rsidRPr="00A85208" w:rsidRDefault="00A85208" w:rsidP="00E163C9">
      <w:pPr>
        <w:autoSpaceDE w:val="0"/>
        <w:autoSpaceDN w:val="0"/>
        <w:adjustRightInd w:val="0"/>
        <w:jc w:val="both"/>
        <w:rPr>
          <w:rFonts w:eastAsiaTheme="minorHAnsi"/>
          <w:color w:val="000000"/>
          <w:lang w:eastAsia="en-US"/>
        </w:rPr>
      </w:pPr>
      <w:r w:rsidRPr="00A85208">
        <w:rPr>
          <w:rFonts w:eastAsiaTheme="minorHAnsi"/>
          <w:b/>
          <w:bCs/>
          <w:color w:val="000000"/>
          <w:lang w:eastAsia="en-US"/>
        </w:rPr>
        <w:t xml:space="preserve">MADDE 8 – (1) </w:t>
      </w:r>
      <w:r w:rsidRPr="00A85208">
        <w:rPr>
          <w:rFonts w:eastAsiaTheme="minorHAnsi"/>
          <w:color w:val="000000"/>
          <w:lang w:eastAsia="en-US"/>
        </w:rPr>
        <w:t xml:space="preserve">Yatay geçiş için başvuran adayların değerlendirme sonuçları, ilgili fakülte, yüksekokul, meslek yüksekokulunun internet sayfasında duyurulur. </w:t>
      </w:r>
      <w:r w:rsidRPr="00E00E3B">
        <w:rPr>
          <w:rFonts w:eastAsiaTheme="minorHAnsi"/>
          <w:color w:val="000000"/>
          <w:lang w:eastAsia="en-US"/>
        </w:rPr>
        <w:t>Ayrıca öğrenciye tebligat yapılmaz</w:t>
      </w:r>
      <w:r w:rsidR="00B05274">
        <w:rPr>
          <w:rFonts w:eastAsiaTheme="minorHAnsi"/>
          <w:color w:val="000000"/>
          <w:lang w:eastAsia="en-US"/>
        </w:rPr>
        <w:t>.</w:t>
      </w:r>
    </w:p>
    <w:p w:rsidR="00A85208" w:rsidRPr="00A85208" w:rsidRDefault="00A85208" w:rsidP="00E163C9">
      <w:pPr>
        <w:autoSpaceDE w:val="0"/>
        <w:autoSpaceDN w:val="0"/>
        <w:adjustRightInd w:val="0"/>
        <w:jc w:val="both"/>
        <w:rPr>
          <w:rFonts w:eastAsiaTheme="minorHAnsi"/>
          <w:color w:val="000000"/>
          <w:lang w:eastAsia="en-US"/>
        </w:rPr>
      </w:pPr>
      <w:r w:rsidRPr="00A85208">
        <w:rPr>
          <w:rFonts w:eastAsiaTheme="minorHAnsi"/>
          <w:b/>
          <w:bCs/>
          <w:color w:val="000000"/>
          <w:lang w:eastAsia="en-US"/>
        </w:rPr>
        <w:t xml:space="preserve">(2) </w:t>
      </w:r>
      <w:r w:rsidRPr="00A85208">
        <w:rPr>
          <w:rFonts w:eastAsiaTheme="minorHAnsi"/>
          <w:color w:val="000000"/>
          <w:lang w:eastAsia="en-US"/>
        </w:rPr>
        <w:t xml:space="preserve">Başarı şartını taşıyan yeterli sayıda adayın olması halinde kontenjan sayısı kadar yedek aday ilan edilir. Belirlenen süre içinde asıl adaylardan başvuru yapılmaması halinde sırayla yedekler çağrılır. </w:t>
      </w:r>
    </w:p>
    <w:p w:rsidR="00A85208" w:rsidRDefault="00A85208" w:rsidP="00E163C9">
      <w:pPr>
        <w:autoSpaceDE w:val="0"/>
        <w:autoSpaceDN w:val="0"/>
        <w:adjustRightInd w:val="0"/>
        <w:jc w:val="both"/>
        <w:rPr>
          <w:rFonts w:eastAsiaTheme="minorHAnsi"/>
          <w:color w:val="000000"/>
          <w:lang w:eastAsia="en-US"/>
        </w:rPr>
      </w:pPr>
      <w:r w:rsidRPr="00A85208">
        <w:rPr>
          <w:rFonts w:eastAsiaTheme="minorHAnsi"/>
          <w:b/>
          <w:bCs/>
          <w:color w:val="000000"/>
          <w:lang w:eastAsia="en-US"/>
        </w:rPr>
        <w:lastRenderedPageBreak/>
        <w:t xml:space="preserve">(3) </w:t>
      </w:r>
      <w:r w:rsidRPr="00A85208">
        <w:rPr>
          <w:rFonts w:eastAsiaTheme="minorHAnsi"/>
          <w:color w:val="000000"/>
          <w:lang w:eastAsia="en-US"/>
        </w:rPr>
        <w:t>İlgili komisyonlar öğrencinin daha önceki dönemlerde aldığı dersler ile yatay geçiş yaptığı programın derslerini dikkate alarak</w:t>
      </w:r>
      <w:r w:rsidR="002D096A">
        <w:rPr>
          <w:rFonts w:eastAsiaTheme="minorHAnsi"/>
          <w:color w:val="000000"/>
          <w:lang w:eastAsia="en-US"/>
        </w:rPr>
        <w:t xml:space="preserve"> </w:t>
      </w:r>
      <w:r w:rsidRPr="00A85208">
        <w:rPr>
          <w:rFonts w:eastAsiaTheme="minorHAnsi"/>
          <w:color w:val="000000"/>
          <w:lang w:eastAsia="en-US"/>
        </w:rPr>
        <w:t>“</w:t>
      </w:r>
      <w:r w:rsidR="00D60AFB" w:rsidRPr="00E00E3B">
        <w:rPr>
          <w:rFonts w:eastAsiaTheme="minorHAnsi"/>
          <w:color w:val="000000"/>
          <w:lang w:eastAsia="en-US"/>
        </w:rPr>
        <w:t>Gaziantep Ünivers</w:t>
      </w:r>
      <w:r w:rsidR="002D096A">
        <w:rPr>
          <w:rFonts w:eastAsiaTheme="minorHAnsi"/>
          <w:color w:val="000000"/>
          <w:lang w:eastAsia="en-US"/>
        </w:rPr>
        <w:t xml:space="preserve">itesi </w:t>
      </w:r>
      <w:r w:rsidRPr="00A85208">
        <w:rPr>
          <w:rFonts w:eastAsiaTheme="minorHAnsi"/>
          <w:color w:val="000000"/>
          <w:lang w:eastAsia="en-US"/>
        </w:rPr>
        <w:t>Muafiyet</w:t>
      </w:r>
      <w:r w:rsidR="002D096A">
        <w:rPr>
          <w:rFonts w:eastAsiaTheme="minorHAnsi"/>
          <w:color w:val="000000"/>
          <w:lang w:eastAsia="en-US"/>
        </w:rPr>
        <w:t xml:space="preserve"> </w:t>
      </w:r>
      <w:r w:rsidR="00D60AFB" w:rsidRPr="00E00E3B">
        <w:rPr>
          <w:rFonts w:eastAsiaTheme="minorHAnsi"/>
          <w:color w:val="000000"/>
          <w:lang w:eastAsia="en-US"/>
        </w:rPr>
        <w:t>v</w:t>
      </w:r>
      <w:r w:rsidRPr="00A85208">
        <w:rPr>
          <w:rFonts w:eastAsiaTheme="minorHAnsi"/>
          <w:color w:val="000000"/>
          <w:lang w:eastAsia="en-US"/>
        </w:rPr>
        <w:t xml:space="preserve">e İntibak İşlemleri </w:t>
      </w:r>
      <w:proofErr w:type="spellStart"/>
      <w:r w:rsidR="00572F52">
        <w:rPr>
          <w:rFonts w:eastAsiaTheme="minorHAnsi"/>
          <w:color w:val="000000"/>
          <w:lang w:eastAsia="en-US"/>
        </w:rPr>
        <w:t>Yönergesi</w:t>
      </w:r>
      <w:r w:rsidRPr="00A85208">
        <w:rPr>
          <w:rFonts w:eastAsiaTheme="minorHAnsi"/>
          <w:color w:val="000000"/>
          <w:lang w:eastAsia="en-US"/>
        </w:rPr>
        <w:t>”n</w:t>
      </w:r>
      <w:r w:rsidR="00D60AFB" w:rsidRPr="00E00E3B">
        <w:rPr>
          <w:rFonts w:eastAsiaTheme="minorHAnsi"/>
          <w:color w:val="000000"/>
          <w:lang w:eastAsia="en-US"/>
        </w:rPr>
        <w:t>e</w:t>
      </w:r>
      <w:proofErr w:type="spellEnd"/>
      <w:r w:rsidRPr="00A85208">
        <w:rPr>
          <w:rFonts w:eastAsiaTheme="minorHAnsi"/>
          <w:color w:val="000000"/>
          <w:lang w:eastAsia="en-US"/>
        </w:rPr>
        <w:t xml:space="preserve"> göre öğrencinin hangi yarıyıla veya sınıfa intibak ettirileceğini tespit eder, varsa öğrencinin alması gereken ilave derslerden oluşan bir intibak programı ile muaf tutulması gereken dersleribelirler</w:t>
      </w:r>
      <w:r w:rsidRPr="001739D9">
        <w:rPr>
          <w:rFonts w:eastAsiaTheme="minorHAnsi"/>
          <w:color w:val="000000"/>
          <w:lang w:eastAsia="en-US"/>
        </w:rPr>
        <w:t xml:space="preserve">. </w:t>
      </w:r>
      <w:r w:rsidR="00CF7B3C" w:rsidRPr="001739D9">
        <w:rPr>
          <w:rFonts w:eastAsiaTheme="minorHAnsi"/>
          <w:color w:val="000000"/>
          <w:lang w:eastAsia="en-US"/>
        </w:rPr>
        <w:t>İntibak yapılırken, Eğitim-Öğretim ve Sınav Yönetmeliği farklı olan birimlerde ilgili yönetmeliğin maddeleri öncelikli uygulanır.</w:t>
      </w:r>
    </w:p>
    <w:p w:rsidR="003D0050" w:rsidRPr="00E00E3B" w:rsidRDefault="003D0050" w:rsidP="003D0050">
      <w:pPr>
        <w:jc w:val="both"/>
      </w:pPr>
      <w:r>
        <w:rPr>
          <w:b/>
          <w:bCs/>
        </w:rPr>
        <w:t>(4</w:t>
      </w:r>
      <w:r w:rsidRPr="00E00E3B">
        <w:rPr>
          <w:b/>
          <w:bCs/>
        </w:rPr>
        <w:t xml:space="preserve">) </w:t>
      </w:r>
      <w:r w:rsidRPr="00E00E3B">
        <w:t>Yatay geçişle gelen öğrencilerin önceki diploma programından aldığı ve başarılı olduğu derslere göre intibakı yapılır</w:t>
      </w:r>
      <w:r>
        <w:t>,</w:t>
      </w:r>
      <w:r w:rsidRPr="00E00E3B">
        <w:t xml:space="preserve"> bu derslere ilişkin daha önce alın</w:t>
      </w:r>
      <w:r>
        <w:t>an notların Üniversitemiz harf</w:t>
      </w:r>
      <w:r w:rsidRPr="00E00E3B">
        <w:t xml:space="preserve"> not</w:t>
      </w:r>
      <w:r>
        <w:t>u</w:t>
      </w:r>
      <w:r w:rsidRPr="00E00E3B">
        <w:t xml:space="preserve"> sistemine dönüştürülerek transkripte işlenmesi sağlanır ve öğrencinin </w:t>
      </w:r>
      <w:proofErr w:type="spellStart"/>
      <w:r w:rsidRPr="00E00E3B">
        <w:t>GANO’su</w:t>
      </w:r>
      <w:proofErr w:type="spellEnd"/>
      <w:r w:rsidRPr="00E00E3B">
        <w:t xml:space="preserve"> bu notlarla birlikte hesaplanır.</w:t>
      </w:r>
    </w:p>
    <w:p w:rsidR="0018671A" w:rsidRPr="00700A79" w:rsidRDefault="003D0050" w:rsidP="0018671A">
      <w:pPr>
        <w:autoSpaceDE w:val="0"/>
        <w:autoSpaceDN w:val="0"/>
        <w:adjustRightInd w:val="0"/>
        <w:jc w:val="both"/>
        <w:rPr>
          <w:rFonts w:eastAsiaTheme="minorHAnsi"/>
          <w:color w:val="000000"/>
          <w:lang w:eastAsia="en-US"/>
        </w:rPr>
      </w:pPr>
      <w:r>
        <w:rPr>
          <w:rFonts w:eastAsiaTheme="minorHAnsi"/>
          <w:b/>
          <w:color w:val="000000"/>
          <w:lang w:eastAsia="en-US"/>
        </w:rPr>
        <w:t>(5</w:t>
      </w:r>
      <w:r w:rsidR="0018671A" w:rsidRPr="0018671A">
        <w:rPr>
          <w:rFonts w:eastAsiaTheme="minorHAnsi"/>
          <w:b/>
          <w:color w:val="000000"/>
          <w:lang w:eastAsia="en-US"/>
        </w:rPr>
        <w:t>)</w:t>
      </w:r>
      <w:r w:rsidR="0018671A" w:rsidRPr="00700A79">
        <w:rPr>
          <w:rFonts w:eastAsiaTheme="minorHAnsi"/>
          <w:color w:val="000000"/>
          <w:lang w:eastAsia="en-US"/>
        </w:rPr>
        <w:t xml:space="preserve">Kurum içi yatay geçiş yapan öğrencinin önceki programından kabul edilen derslerin kredi ve harfli notları aynen kabul edilir. </w:t>
      </w:r>
    </w:p>
    <w:p w:rsidR="00A85208" w:rsidRPr="00A85208" w:rsidRDefault="003D0050" w:rsidP="00E163C9">
      <w:pPr>
        <w:autoSpaceDE w:val="0"/>
        <w:autoSpaceDN w:val="0"/>
        <w:adjustRightInd w:val="0"/>
        <w:jc w:val="both"/>
        <w:rPr>
          <w:rFonts w:eastAsiaTheme="minorHAnsi"/>
          <w:color w:val="000000"/>
          <w:lang w:eastAsia="en-US"/>
        </w:rPr>
      </w:pPr>
      <w:r>
        <w:rPr>
          <w:rFonts w:eastAsiaTheme="minorHAnsi"/>
          <w:b/>
          <w:bCs/>
          <w:color w:val="000000"/>
          <w:lang w:eastAsia="en-US"/>
        </w:rPr>
        <w:t>(6</w:t>
      </w:r>
      <w:r w:rsidR="00A85208" w:rsidRPr="00A85208">
        <w:rPr>
          <w:rFonts w:eastAsiaTheme="minorHAnsi"/>
          <w:b/>
          <w:bCs/>
          <w:color w:val="000000"/>
          <w:lang w:eastAsia="en-US"/>
        </w:rPr>
        <w:t xml:space="preserve">) </w:t>
      </w:r>
      <w:r w:rsidR="00A85208" w:rsidRPr="00A85208">
        <w:rPr>
          <w:rFonts w:eastAsiaTheme="minorHAnsi"/>
          <w:color w:val="000000"/>
          <w:lang w:eastAsia="en-US"/>
        </w:rPr>
        <w:t xml:space="preserve">Yatay geçiş hakkı kazanan öğrencilerin intibak programları, bu öğrencilerin yeni akademik yarıyıla diğer öğrencilerle aynı tarihte başlamasını sağlayacak biçimde yapılır. </w:t>
      </w:r>
    </w:p>
    <w:p w:rsidR="00A85208" w:rsidRPr="00E00E3B" w:rsidRDefault="003D0050" w:rsidP="00E163C9">
      <w:pPr>
        <w:autoSpaceDE w:val="0"/>
        <w:autoSpaceDN w:val="0"/>
        <w:adjustRightInd w:val="0"/>
        <w:jc w:val="both"/>
        <w:rPr>
          <w:rFonts w:eastAsiaTheme="minorHAnsi"/>
          <w:color w:val="000000"/>
          <w:lang w:eastAsia="en-US"/>
        </w:rPr>
      </w:pPr>
      <w:r>
        <w:rPr>
          <w:rFonts w:eastAsiaTheme="minorHAnsi"/>
          <w:b/>
          <w:bCs/>
          <w:color w:val="000000"/>
          <w:lang w:eastAsia="en-US"/>
        </w:rPr>
        <w:t>(7</w:t>
      </w:r>
      <w:r w:rsidR="00A85208" w:rsidRPr="00A85208">
        <w:rPr>
          <w:rFonts w:eastAsiaTheme="minorHAnsi"/>
          <w:b/>
          <w:bCs/>
          <w:color w:val="000000"/>
          <w:lang w:eastAsia="en-US"/>
        </w:rPr>
        <w:t xml:space="preserve">) </w:t>
      </w:r>
      <w:r w:rsidR="00A85208" w:rsidRPr="00A85208">
        <w:rPr>
          <w:rFonts w:eastAsiaTheme="minorHAnsi"/>
          <w:color w:val="000000"/>
          <w:lang w:eastAsia="en-US"/>
        </w:rPr>
        <w:t xml:space="preserve">Bu </w:t>
      </w:r>
      <w:r w:rsidR="00D60AFB" w:rsidRPr="00E00E3B">
        <w:rPr>
          <w:rFonts w:eastAsiaTheme="minorHAnsi"/>
          <w:color w:val="000000"/>
          <w:lang w:eastAsia="en-US"/>
        </w:rPr>
        <w:t>yönerge</w:t>
      </w:r>
      <w:r w:rsidR="00A85208" w:rsidRPr="00A85208">
        <w:rPr>
          <w:rFonts w:eastAsiaTheme="minorHAnsi"/>
          <w:color w:val="000000"/>
          <w:lang w:eastAsia="en-US"/>
        </w:rPr>
        <w:t xml:space="preserve"> kapsamında geçiş yapan öğrencilerin yeni durumları, kayıt işlemi tamamlanıp geçiş ve intibak işlemleri kesinleştikten sonra Öğrenci İşleri Daire</w:t>
      </w:r>
      <w:r w:rsidR="0018671A">
        <w:rPr>
          <w:rFonts w:eastAsiaTheme="minorHAnsi"/>
          <w:color w:val="000000"/>
          <w:lang w:eastAsia="en-US"/>
        </w:rPr>
        <w:t>si</w:t>
      </w:r>
      <w:r w:rsidR="00A85208" w:rsidRPr="00A85208">
        <w:rPr>
          <w:rFonts w:eastAsiaTheme="minorHAnsi"/>
          <w:color w:val="000000"/>
          <w:lang w:eastAsia="en-US"/>
        </w:rPr>
        <w:t xml:space="preserve"> Başkanlığı tarafından </w:t>
      </w:r>
      <w:proofErr w:type="spellStart"/>
      <w:r w:rsidR="00A85208" w:rsidRPr="00A85208">
        <w:rPr>
          <w:rFonts w:eastAsiaTheme="minorHAnsi"/>
          <w:color w:val="000000"/>
          <w:lang w:eastAsia="en-US"/>
        </w:rPr>
        <w:t>YÖKSİS’e</w:t>
      </w:r>
      <w:proofErr w:type="spellEnd"/>
      <w:r w:rsidR="00A85208" w:rsidRPr="00A85208">
        <w:rPr>
          <w:rFonts w:eastAsiaTheme="minorHAnsi"/>
          <w:color w:val="000000"/>
          <w:lang w:eastAsia="en-US"/>
        </w:rPr>
        <w:t xml:space="preserve"> işlenir. </w:t>
      </w:r>
    </w:p>
    <w:p w:rsidR="00417D1F" w:rsidRPr="00E00E3B" w:rsidRDefault="00417D1F" w:rsidP="00E163C9">
      <w:pPr>
        <w:autoSpaceDE w:val="0"/>
        <w:autoSpaceDN w:val="0"/>
        <w:adjustRightInd w:val="0"/>
        <w:jc w:val="both"/>
        <w:rPr>
          <w:rFonts w:eastAsiaTheme="minorHAnsi"/>
          <w:color w:val="000000"/>
          <w:lang w:eastAsia="en-US"/>
        </w:rPr>
      </w:pPr>
    </w:p>
    <w:p w:rsidR="00700A79" w:rsidRPr="006A2A4B" w:rsidRDefault="00700A79" w:rsidP="00700A79">
      <w:pPr>
        <w:autoSpaceDE w:val="0"/>
        <w:autoSpaceDN w:val="0"/>
        <w:adjustRightInd w:val="0"/>
        <w:jc w:val="both"/>
        <w:rPr>
          <w:rFonts w:eastAsiaTheme="minorHAnsi"/>
          <w:color w:val="000000"/>
          <w:lang w:eastAsia="en-US"/>
        </w:rPr>
      </w:pPr>
      <w:r w:rsidRPr="006A2A4B">
        <w:rPr>
          <w:rFonts w:eastAsiaTheme="minorHAnsi"/>
          <w:b/>
          <w:bCs/>
          <w:color w:val="000000"/>
          <w:lang w:eastAsia="en-US"/>
        </w:rPr>
        <w:t xml:space="preserve">Eğitim-Öğretim Süresi </w:t>
      </w:r>
    </w:p>
    <w:p w:rsidR="00700A79" w:rsidRPr="006A2A4B" w:rsidRDefault="00700A79" w:rsidP="00700A79">
      <w:pPr>
        <w:autoSpaceDE w:val="0"/>
        <w:autoSpaceDN w:val="0"/>
        <w:adjustRightInd w:val="0"/>
        <w:jc w:val="both"/>
        <w:rPr>
          <w:rFonts w:eastAsiaTheme="minorHAnsi"/>
          <w:color w:val="000000"/>
          <w:lang w:eastAsia="en-US"/>
        </w:rPr>
      </w:pPr>
      <w:r w:rsidRPr="006A2A4B">
        <w:rPr>
          <w:rFonts w:eastAsiaTheme="minorHAnsi"/>
          <w:b/>
          <w:bCs/>
          <w:color w:val="000000"/>
          <w:lang w:eastAsia="en-US"/>
        </w:rPr>
        <w:t xml:space="preserve">MADDE </w:t>
      </w:r>
      <w:r w:rsidR="00CF7B3C">
        <w:rPr>
          <w:rFonts w:eastAsiaTheme="minorHAnsi"/>
          <w:b/>
          <w:bCs/>
          <w:color w:val="000000"/>
          <w:lang w:eastAsia="en-US"/>
        </w:rPr>
        <w:t>9</w:t>
      </w:r>
      <w:r w:rsidRPr="006A2A4B">
        <w:rPr>
          <w:rFonts w:eastAsiaTheme="minorHAnsi"/>
          <w:b/>
          <w:bCs/>
          <w:color w:val="000000"/>
          <w:lang w:eastAsia="en-US"/>
        </w:rPr>
        <w:t xml:space="preserve">- (1) </w:t>
      </w:r>
      <w:r w:rsidRPr="006A2A4B">
        <w:rPr>
          <w:rFonts w:eastAsiaTheme="minorHAnsi"/>
          <w:color w:val="000000"/>
          <w:lang w:eastAsia="en-US"/>
        </w:rPr>
        <w:t>Yatay geçiş yapan öğrencinin toplam öğretim süresi ayrıldığı birimde okuduğu sü</w:t>
      </w:r>
      <w:r w:rsidR="00864716">
        <w:rPr>
          <w:rFonts w:eastAsiaTheme="minorHAnsi"/>
          <w:color w:val="000000"/>
          <w:lang w:eastAsia="en-US"/>
        </w:rPr>
        <w:t>re de dâhil olmak üzere</w:t>
      </w:r>
      <w:r w:rsidRPr="00E00E3B">
        <w:rPr>
          <w:rFonts w:eastAsiaTheme="minorHAnsi"/>
          <w:color w:val="000000"/>
          <w:lang w:eastAsia="en-US"/>
        </w:rPr>
        <w:t xml:space="preserve"> Gaziantep</w:t>
      </w:r>
      <w:r w:rsidRPr="006A2A4B">
        <w:rPr>
          <w:rFonts w:eastAsiaTheme="minorHAnsi"/>
          <w:color w:val="000000"/>
          <w:lang w:eastAsia="en-US"/>
        </w:rPr>
        <w:t xml:space="preserve"> Üniversitesi </w:t>
      </w:r>
      <w:proofErr w:type="spellStart"/>
      <w:r w:rsidRPr="006A2A4B">
        <w:rPr>
          <w:rFonts w:eastAsiaTheme="minorHAnsi"/>
          <w:color w:val="000000"/>
          <w:lang w:eastAsia="en-US"/>
        </w:rPr>
        <w:t>Önlisans</w:t>
      </w:r>
      <w:proofErr w:type="spellEnd"/>
      <w:r w:rsidRPr="006A2A4B">
        <w:rPr>
          <w:rFonts w:eastAsiaTheme="minorHAnsi"/>
          <w:color w:val="000000"/>
          <w:lang w:eastAsia="en-US"/>
        </w:rPr>
        <w:t xml:space="preserve"> ve Lisans Eğitim-Öğretim ve Sınav Yönetmeliğinde belirtilen süre kadardır. </w:t>
      </w:r>
    </w:p>
    <w:p w:rsidR="00D60AFB" w:rsidRPr="00A85208" w:rsidRDefault="00D60AFB" w:rsidP="00E163C9">
      <w:pPr>
        <w:autoSpaceDE w:val="0"/>
        <w:autoSpaceDN w:val="0"/>
        <w:adjustRightInd w:val="0"/>
        <w:jc w:val="both"/>
        <w:rPr>
          <w:rFonts w:eastAsiaTheme="minorHAnsi"/>
          <w:color w:val="000000"/>
          <w:lang w:eastAsia="en-US"/>
        </w:rPr>
      </w:pPr>
    </w:p>
    <w:p w:rsidR="00417D1F" w:rsidRPr="00417D1F" w:rsidRDefault="00417D1F" w:rsidP="00502172">
      <w:pPr>
        <w:autoSpaceDE w:val="0"/>
        <w:autoSpaceDN w:val="0"/>
        <w:adjustRightInd w:val="0"/>
        <w:jc w:val="center"/>
        <w:rPr>
          <w:rFonts w:eastAsiaTheme="minorHAnsi"/>
          <w:color w:val="000000"/>
          <w:lang w:eastAsia="en-US"/>
        </w:rPr>
      </w:pPr>
      <w:r w:rsidRPr="00417D1F">
        <w:rPr>
          <w:rFonts w:eastAsiaTheme="minorHAnsi"/>
          <w:b/>
          <w:bCs/>
          <w:color w:val="000000"/>
          <w:lang w:eastAsia="en-US"/>
        </w:rPr>
        <w:t>ÜÇÜNCÜ BÖLÜM</w:t>
      </w:r>
    </w:p>
    <w:p w:rsidR="0027666B" w:rsidRPr="00E00E3B" w:rsidRDefault="00417D1F" w:rsidP="00502172">
      <w:pPr>
        <w:jc w:val="center"/>
      </w:pPr>
      <w:r w:rsidRPr="00E00E3B">
        <w:rPr>
          <w:rFonts w:eastAsiaTheme="minorHAnsi"/>
          <w:b/>
          <w:bCs/>
          <w:color w:val="000000"/>
          <w:lang w:eastAsia="en-US"/>
        </w:rPr>
        <w:t>Kurum İçi Programlar Arası Yatay Geçiş</w:t>
      </w:r>
    </w:p>
    <w:p w:rsidR="0027666B" w:rsidRPr="00E00E3B" w:rsidRDefault="0027666B" w:rsidP="00E163C9">
      <w:pPr>
        <w:jc w:val="both"/>
        <w:rPr>
          <w:b/>
        </w:rPr>
      </w:pPr>
    </w:p>
    <w:p w:rsidR="00417D1F" w:rsidRPr="00417D1F" w:rsidRDefault="00417D1F" w:rsidP="00E163C9">
      <w:pPr>
        <w:autoSpaceDE w:val="0"/>
        <w:autoSpaceDN w:val="0"/>
        <w:adjustRightInd w:val="0"/>
        <w:jc w:val="both"/>
        <w:rPr>
          <w:rFonts w:eastAsiaTheme="minorHAnsi"/>
          <w:color w:val="000000"/>
          <w:lang w:eastAsia="en-US"/>
        </w:rPr>
      </w:pPr>
      <w:r w:rsidRPr="00417D1F">
        <w:rPr>
          <w:rFonts w:eastAsiaTheme="minorHAnsi"/>
          <w:b/>
          <w:bCs/>
          <w:color w:val="000000"/>
          <w:lang w:eastAsia="en-US"/>
        </w:rPr>
        <w:t xml:space="preserve">Kurum içi yatay geçiş  </w:t>
      </w:r>
    </w:p>
    <w:p w:rsidR="00864716" w:rsidRPr="00864716" w:rsidRDefault="00417D1F" w:rsidP="00864716">
      <w:pPr>
        <w:pStyle w:val="AklamaMetni"/>
        <w:jc w:val="both"/>
        <w:rPr>
          <w:sz w:val="24"/>
          <w:szCs w:val="24"/>
        </w:rPr>
      </w:pPr>
      <w:r w:rsidRPr="00864716">
        <w:rPr>
          <w:rFonts w:eastAsiaTheme="minorHAnsi"/>
          <w:b/>
          <w:bCs/>
          <w:color w:val="000000"/>
          <w:sz w:val="24"/>
          <w:szCs w:val="24"/>
          <w:lang w:eastAsia="en-US"/>
        </w:rPr>
        <w:t xml:space="preserve">MADDE </w:t>
      </w:r>
      <w:r w:rsidR="00CF7B3C">
        <w:rPr>
          <w:rFonts w:eastAsiaTheme="minorHAnsi"/>
          <w:b/>
          <w:bCs/>
          <w:color w:val="000000"/>
          <w:sz w:val="24"/>
          <w:szCs w:val="24"/>
          <w:lang w:eastAsia="en-US"/>
        </w:rPr>
        <w:t>10</w:t>
      </w:r>
      <w:r w:rsidRPr="00864716">
        <w:rPr>
          <w:rFonts w:eastAsiaTheme="minorHAnsi"/>
          <w:b/>
          <w:bCs/>
          <w:color w:val="000000"/>
          <w:sz w:val="24"/>
          <w:szCs w:val="24"/>
          <w:lang w:eastAsia="en-US"/>
        </w:rPr>
        <w:t xml:space="preserve"> – (1) </w:t>
      </w:r>
      <w:r w:rsidR="00864716" w:rsidRPr="00864716">
        <w:rPr>
          <w:sz w:val="24"/>
          <w:szCs w:val="24"/>
        </w:rPr>
        <w:t xml:space="preserve">Fakülte, yüksekokul veya meslek yüksekokulunun kendi bünyesindeki eşdeğer programlar veya Üniversite içinde yer alan diğer fakülte, yüksekokul veya meslek yüksekokullarının bünyesindeki eşdeğer programlara yatay geçişler, ilgili yönetim kurulu tarafından belirlenen kontenjanlar dahilinde yapılabilir. </w:t>
      </w:r>
    </w:p>
    <w:p w:rsidR="00DD2479" w:rsidRPr="00E00E3B" w:rsidRDefault="00DD2479" w:rsidP="00864716">
      <w:pPr>
        <w:jc w:val="both"/>
        <w:rPr>
          <w:b/>
        </w:rPr>
      </w:pPr>
      <w:r w:rsidRPr="007B1F34">
        <w:rPr>
          <w:rFonts w:eastAsiaTheme="minorHAnsi"/>
          <w:b/>
          <w:color w:val="000000"/>
          <w:lang w:eastAsia="en-US"/>
        </w:rPr>
        <w:t>(2)</w:t>
      </w:r>
      <w:r w:rsidRPr="00E00E3B">
        <w:rPr>
          <w:rFonts w:eastAsiaTheme="minorHAnsi"/>
          <w:color w:val="000000"/>
          <w:lang w:eastAsia="en-US"/>
        </w:rPr>
        <w:t xml:space="preserve"> Yatay geçiş başvuru </w:t>
      </w:r>
      <w:r w:rsidR="007F4364" w:rsidRPr="00E00E3B">
        <w:rPr>
          <w:rFonts w:eastAsiaTheme="minorHAnsi"/>
          <w:color w:val="000000"/>
          <w:lang w:eastAsia="en-US"/>
        </w:rPr>
        <w:t>ve değerlendirme</w:t>
      </w:r>
      <w:r w:rsidRPr="00E00E3B">
        <w:rPr>
          <w:rFonts w:eastAsiaTheme="minorHAnsi"/>
          <w:color w:val="000000"/>
          <w:lang w:eastAsia="en-US"/>
        </w:rPr>
        <w:t xml:space="preserve"> işlemler</w:t>
      </w:r>
      <w:r w:rsidR="007F4364" w:rsidRPr="00E00E3B">
        <w:rPr>
          <w:rFonts w:eastAsiaTheme="minorHAnsi"/>
          <w:color w:val="000000"/>
          <w:lang w:eastAsia="en-US"/>
        </w:rPr>
        <w:t>i</w:t>
      </w:r>
      <w:r w:rsidRPr="00E00E3B">
        <w:rPr>
          <w:rFonts w:eastAsiaTheme="minorHAnsi"/>
          <w:color w:val="000000"/>
          <w:lang w:eastAsia="en-US"/>
        </w:rPr>
        <w:t xml:space="preserve"> bu yönergedeki genel ilkeler çerçevesinde yapılır.</w:t>
      </w:r>
    </w:p>
    <w:p w:rsidR="00E9238C" w:rsidRDefault="00E9238C" w:rsidP="00502172">
      <w:pPr>
        <w:autoSpaceDE w:val="0"/>
        <w:autoSpaceDN w:val="0"/>
        <w:adjustRightInd w:val="0"/>
        <w:jc w:val="center"/>
        <w:rPr>
          <w:rFonts w:eastAsiaTheme="minorHAnsi"/>
          <w:b/>
          <w:bCs/>
          <w:color w:val="000000"/>
          <w:lang w:eastAsia="en-US"/>
        </w:rPr>
      </w:pPr>
    </w:p>
    <w:p w:rsidR="006A2A4B" w:rsidRPr="006A2A4B" w:rsidRDefault="006A2A4B" w:rsidP="00502172">
      <w:pPr>
        <w:autoSpaceDE w:val="0"/>
        <w:autoSpaceDN w:val="0"/>
        <w:adjustRightInd w:val="0"/>
        <w:jc w:val="center"/>
        <w:rPr>
          <w:rFonts w:eastAsiaTheme="minorHAnsi"/>
          <w:color w:val="000000"/>
          <w:lang w:eastAsia="en-US"/>
        </w:rPr>
      </w:pPr>
      <w:r w:rsidRPr="006A2A4B">
        <w:rPr>
          <w:rFonts w:eastAsiaTheme="minorHAnsi"/>
          <w:b/>
          <w:bCs/>
          <w:color w:val="000000"/>
          <w:lang w:eastAsia="en-US"/>
        </w:rPr>
        <w:t>DÖRDÜNCÜ BÖLÜM</w:t>
      </w:r>
    </w:p>
    <w:p w:rsidR="00F607BD" w:rsidRPr="00E00E3B" w:rsidRDefault="006A2A4B" w:rsidP="00502172">
      <w:pPr>
        <w:jc w:val="center"/>
        <w:rPr>
          <w:b/>
        </w:rPr>
      </w:pPr>
      <w:r w:rsidRPr="00E00E3B">
        <w:rPr>
          <w:rFonts w:eastAsiaTheme="minorHAnsi"/>
          <w:b/>
          <w:bCs/>
          <w:color w:val="000000"/>
          <w:lang w:eastAsia="en-US"/>
        </w:rPr>
        <w:t>Kurumlar Arası Yatay Geçiş</w:t>
      </w:r>
    </w:p>
    <w:p w:rsidR="00F607BD" w:rsidRPr="00E00E3B" w:rsidRDefault="00F607BD" w:rsidP="00E163C9">
      <w:pPr>
        <w:jc w:val="both"/>
        <w:rPr>
          <w:b/>
        </w:rPr>
      </w:pPr>
    </w:p>
    <w:p w:rsidR="00F607BD" w:rsidRPr="00E00E3B" w:rsidRDefault="00F607BD" w:rsidP="00E163C9">
      <w:pPr>
        <w:jc w:val="both"/>
        <w:rPr>
          <w:b/>
        </w:rPr>
      </w:pPr>
    </w:p>
    <w:p w:rsidR="006A2A4B" w:rsidRPr="006A2A4B" w:rsidRDefault="006A2A4B" w:rsidP="00E163C9">
      <w:pPr>
        <w:autoSpaceDE w:val="0"/>
        <w:autoSpaceDN w:val="0"/>
        <w:adjustRightInd w:val="0"/>
        <w:jc w:val="both"/>
        <w:rPr>
          <w:rFonts w:eastAsiaTheme="minorHAnsi"/>
          <w:color w:val="000000"/>
          <w:lang w:eastAsia="en-US"/>
        </w:rPr>
      </w:pPr>
      <w:r w:rsidRPr="006A2A4B">
        <w:rPr>
          <w:rFonts w:eastAsiaTheme="minorHAnsi"/>
          <w:b/>
          <w:bCs/>
          <w:color w:val="000000"/>
          <w:lang w:eastAsia="en-US"/>
        </w:rPr>
        <w:t xml:space="preserve">Kurumlar arası yatay geçiş </w:t>
      </w:r>
    </w:p>
    <w:p w:rsidR="006A2A4B" w:rsidRPr="006A2A4B" w:rsidRDefault="006A2A4B" w:rsidP="00E163C9">
      <w:pPr>
        <w:autoSpaceDE w:val="0"/>
        <w:autoSpaceDN w:val="0"/>
        <w:adjustRightInd w:val="0"/>
        <w:jc w:val="both"/>
        <w:rPr>
          <w:rFonts w:eastAsiaTheme="minorHAnsi"/>
          <w:color w:val="000000"/>
          <w:lang w:eastAsia="en-US"/>
        </w:rPr>
      </w:pPr>
      <w:r w:rsidRPr="006A2A4B">
        <w:rPr>
          <w:rFonts w:eastAsiaTheme="minorHAnsi"/>
          <w:b/>
          <w:bCs/>
          <w:color w:val="000000"/>
          <w:lang w:eastAsia="en-US"/>
        </w:rPr>
        <w:t>MADDE 1</w:t>
      </w:r>
      <w:r w:rsidR="00CF7B3C">
        <w:rPr>
          <w:rFonts w:eastAsiaTheme="minorHAnsi"/>
          <w:b/>
          <w:bCs/>
          <w:color w:val="000000"/>
          <w:lang w:eastAsia="en-US"/>
        </w:rPr>
        <w:t>1</w:t>
      </w:r>
      <w:r w:rsidRPr="006A2A4B">
        <w:rPr>
          <w:rFonts w:eastAsiaTheme="minorHAnsi"/>
          <w:b/>
          <w:bCs/>
          <w:color w:val="000000"/>
          <w:lang w:eastAsia="en-US"/>
        </w:rPr>
        <w:t xml:space="preserve"> – (1) </w:t>
      </w:r>
      <w:r w:rsidRPr="006A2A4B">
        <w:rPr>
          <w:rFonts w:eastAsiaTheme="minorHAnsi"/>
          <w:color w:val="000000"/>
          <w:lang w:eastAsia="en-US"/>
        </w:rPr>
        <w:t>Kurumlar arası yatay geçiş</w:t>
      </w:r>
      <w:r w:rsidR="00864716">
        <w:rPr>
          <w:rFonts w:eastAsiaTheme="minorHAnsi"/>
          <w:color w:val="000000"/>
          <w:lang w:eastAsia="en-US"/>
        </w:rPr>
        <w:t>, Y</w:t>
      </w:r>
      <w:r w:rsidRPr="006A2A4B">
        <w:rPr>
          <w:rFonts w:eastAsiaTheme="minorHAnsi"/>
          <w:color w:val="000000"/>
          <w:lang w:eastAsia="en-US"/>
        </w:rPr>
        <w:t xml:space="preserve">ükseköğretim kurumlarının aynı düzeydeki eşdeğer diploma programları arasında ve Yükseköğretim Kurulu tarafından yayınlanan kontenjanlar çerçevesinde yapılır. </w:t>
      </w:r>
    </w:p>
    <w:p w:rsidR="006A2A4B" w:rsidRPr="006A2A4B" w:rsidRDefault="006A2A4B" w:rsidP="00E163C9">
      <w:pPr>
        <w:autoSpaceDE w:val="0"/>
        <w:autoSpaceDN w:val="0"/>
        <w:adjustRightInd w:val="0"/>
        <w:jc w:val="both"/>
        <w:rPr>
          <w:rFonts w:eastAsiaTheme="minorHAnsi"/>
          <w:color w:val="000000"/>
          <w:lang w:eastAsia="en-US"/>
        </w:rPr>
      </w:pPr>
      <w:r w:rsidRPr="006A2A4B">
        <w:rPr>
          <w:rFonts w:eastAsiaTheme="minorHAnsi"/>
          <w:b/>
          <w:bCs/>
          <w:color w:val="000000"/>
          <w:lang w:eastAsia="en-US"/>
        </w:rPr>
        <w:t xml:space="preserve">(2) </w:t>
      </w:r>
      <w:r w:rsidRPr="006A2A4B">
        <w:rPr>
          <w:rFonts w:eastAsiaTheme="minorHAnsi"/>
          <w:color w:val="000000"/>
          <w:lang w:eastAsia="en-US"/>
        </w:rPr>
        <w:t>Yükseköğretim kurumlarının belirlenen yatay geçiş kontenjanları ile başvuru ve değerlendirme takvimi, Yükseköğretim Kurulu internet sayfasında</w:t>
      </w:r>
      <w:r w:rsidR="007F4364" w:rsidRPr="00E00E3B">
        <w:rPr>
          <w:rFonts w:eastAsiaTheme="minorHAnsi"/>
          <w:color w:val="000000"/>
          <w:lang w:eastAsia="en-US"/>
        </w:rPr>
        <w:t xml:space="preserve"> ve Üniversitemiz web sayfasında</w:t>
      </w:r>
      <w:r w:rsidRPr="006A2A4B">
        <w:rPr>
          <w:rFonts w:eastAsiaTheme="minorHAnsi"/>
          <w:color w:val="000000"/>
          <w:lang w:eastAsia="en-US"/>
        </w:rPr>
        <w:t xml:space="preserve"> ilan edilir. </w:t>
      </w:r>
    </w:p>
    <w:p w:rsidR="007F4364" w:rsidRPr="00E00E3B" w:rsidRDefault="007F4364" w:rsidP="00E163C9">
      <w:pPr>
        <w:jc w:val="both"/>
        <w:rPr>
          <w:b/>
        </w:rPr>
      </w:pPr>
      <w:r w:rsidRPr="00A83226">
        <w:rPr>
          <w:rFonts w:eastAsiaTheme="minorHAnsi"/>
          <w:b/>
          <w:color w:val="000000"/>
          <w:lang w:eastAsia="en-US"/>
        </w:rPr>
        <w:t>(3)</w:t>
      </w:r>
      <w:r w:rsidRPr="00E00E3B">
        <w:rPr>
          <w:rFonts w:eastAsiaTheme="minorHAnsi"/>
          <w:color w:val="000000"/>
          <w:lang w:eastAsia="en-US"/>
        </w:rPr>
        <w:t xml:space="preserve"> Yatay geçiş başvuru ve değerlendirme işlemleri bu yönergedeki genel ilkeler çerçevesinde yapılır.</w:t>
      </w:r>
    </w:p>
    <w:p w:rsidR="007F4364" w:rsidRPr="00E00E3B" w:rsidRDefault="007F4364" w:rsidP="00E163C9">
      <w:pPr>
        <w:shd w:val="clear" w:color="auto" w:fill="FFFFFF"/>
        <w:spacing w:line="240" w:lineRule="atLeast"/>
        <w:jc w:val="both"/>
        <w:rPr>
          <w:b/>
          <w:bCs/>
        </w:rPr>
      </w:pPr>
    </w:p>
    <w:p w:rsidR="00E9238C" w:rsidRDefault="00E9238C" w:rsidP="00E163C9">
      <w:pPr>
        <w:shd w:val="clear" w:color="auto" w:fill="FFFFFF"/>
        <w:spacing w:line="240" w:lineRule="atLeast"/>
        <w:jc w:val="center"/>
        <w:rPr>
          <w:b/>
          <w:bCs/>
        </w:rPr>
      </w:pPr>
    </w:p>
    <w:p w:rsidR="00E9238C" w:rsidRDefault="00E9238C" w:rsidP="00E163C9">
      <w:pPr>
        <w:shd w:val="clear" w:color="auto" w:fill="FFFFFF"/>
        <w:spacing w:line="240" w:lineRule="atLeast"/>
        <w:jc w:val="center"/>
        <w:rPr>
          <w:b/>
          <w:bCs/>
        </w:rPr>
      </w:pPr>
    </w:p>
    <w:p w:rsidR="00E9238C" w:rsidRDefault="00E9238C" w:rsidP="00E163C9">
      <w:pPr>
        <w:shd w:val="clear" w:color="auto" w:fill="FFFFFF"/>
        <w:spacing w:line="240" w:lineRule="atLeast"/>
        <w:jc w:val="center"/>
        <w:rPr>
          <w:b/>
          <w:bCs/>
        </w:rPr>
      </w:pPr>
    </w:p>
    <w:p w:rsidR="00E9238C" w:rsidRDefault="00E9238C" w:rsidP="00E163C9">
      <w:pPr>
        <w:shd w:val="clear" w:color="auto" w:fill="FFFFFF"/>
        <w:spacing w:line="240" w:lineRule="atLeast"/>
        <w:jc w:val="center"/>
        <w:rPr>
          <w:b/>
          <w:bCs/>
        </w:rPr>
      </w:pPr>
    </w:p>
    <w:p w:rsidR="00E9238C" w:rsidRDefault="00E9238C" w:rsidP="00E163C9">
      <w:pPr>
        <w:shd w:val="clear" w:color="auto" w:fill="FFFFFF"/>
        <w:spacing w:line="240" w:lineRule="atLeast"/>
        <w:jc w:val="center"/>
        <w:rPr>
          <w:b/>
          <w:bCs/>
        </w:rPr>
      </w:pPr>
    </w:p>
    <w:p w:rsidR="00B93E46" w:rsidRDefault="00B93E46" w:rsidP="00E163C9">
      <w:pPr>
        <w:shd w:val="clear" w:color="auto" w:fill="FFFFFF"/>
        <w:spacing w:line="240" w:lineRule="atLeast"/>
        <w:jc w:val="center"/>
        <w:rPr>
          <w:b/>
          <w:bCs/>
        </w:rPr>
      </w:pPr>
    </w:p>
    <w:p w:rsidR="007F4364" w:rsidRPr="00E00E3B" w:rsidRDefault="007F4364" w:rsidP="00E163C9">
      <w:pPr>
        <w:shd w:val="clear" w:color="auto" w:fill="FFFFFF"/>
        <w:spacing w:line="240" w:lineRule="atLeast"/>
        <w:jc w:val="center"/>
        <w:rPr>
          <w:b/>
          <w:bCs/>
        </w:rPr>
      </w:pPr>
      <w:r w:rsidRPr="00E00E3B">
        <w:rPr>
          <w:b/>
          <w:bCs/>
        </w:rPr>
        <w:t>BEŞİNCİ BÖLÜM</w:t>
      </w:r>
    </w:p>
    <w:p w:rsidR="0022531D" w:rsidRDefault="0022531D" w:rsidP="00E163C9">
      <w:pPr>
        <w:shd w:val="clear" w:color="auto" w:fill="FFFFFF"/>
        <w:spacing w:line="240" w:lineRule="atLeast"/>
        <w:jc w:val="center"/>
        <w:rPr>
          <w:b/>
          <w:bCs/>
        </w:rPr>
      </w:pPr>
      <w:r w:rsidRPr="00E00E3B">
        <w:rPr>
          <w:b/>
          <w:bCs/>
        </w:rPr>
        <w:t>Merkezi yerleştirme puanıyla yatay geçiş</w:t>
      </w:r>
    </w:p>
    <w:p w:rsidR="00E163C9" w:rsidRPr="00E00E3B" w:rsidRDefault="00E163C9" w:rsidP="00E163C9">
      <w:pPr>
        <w:shd w:val="clear" w:color="auto" w:fill="FFFFFF"/>
        <w:spacing w:line="240" w:lineRule="atLeast"/>
        <w:jc w:val="center"/>
        <w:rPr>
          <w:b/>
          <w:bCs/>
        </w:rPr>
      </w:pPr>
    </w:p>
    <w:p w:rsidR="007F4364" w:rsidRPr="00E00E3B" w:rsidRDefault="007F4364" w:rsidP="00E163C9">
      <w:pPr>
        <w:shd w:val="clear" w:color="auto" w:fill="FFFFFF"/>
        <w:spacing w:line="240" w:lineRule="atLeast"/>
        <w:jc w:val="both"/>
        <w:rPr>
          <w:b/>
          <w:bCs/>
        </w:rPr>
      </w:pPr>
      <w:r w:rsidRPr="00E00E3B">
        <w:rPr>
          <w:b/>
          <w:bCs/>
        </w:rPr>
        <w:t>Merkezi yerleştirme puanıyla yatay geçiş</w:t>
      </w:r>
    </w:p>
    <w:p w:rsidR="007F4364" w:rsidRDefault="007F4364" w:rsidP="00E163C9">
      <w:pPr>
        <w:shd w:val="clear" w:color="auto" w:fill="FFFFFF"/>
        <w:spacing w:line="240" w:lineRule="atLeast"/>
        <w:jc w:val="both"/>
        <w:rPr>
          <w:bCs/>
        </w:rPr>
      </w:pPr>
      <w:r w:rsidRPr="00E00E3B">
        <w:rPr>
          <w:b/>
          <w:bCs/>
        </w:rPr>
        <w:t>Madde</w:t>
      </w:r>
      <w:r w:rsidR="007B1F34">
        <w:rPr>
          <w:b/>
          <w:bCs/>
        </w:rPr>
        <w:t xml:space="preserve"> 1</w:t>
      </w:r>
      <w:r w:rsidR="00CF7B3C">
        <w:rPr>
          <w:b/>
          <w:bCs/>
        </w:rPr>
        <w:t>2</w:t>
      </w:r>
      <w:r w:rsidRPr="00E00E3B">
        <w:rPr>
          <w:b/>
          <w:bCs/>
        </w:rPr>
        <w:t>-</w:t>
      </w:r>
      <w:r w:rsidRPr="00A83226">
        <w:rPr>
          <w:b/>
          <w:bCs/>
        </w:rPr>
        <w:t xml:space="preserve">(1) </w:t>
      </w:r>
      <w:r w:rsidRPr="00E00E3B">
        <w:rPr>
          <w:bCs/>
        </w:rPr>
        <w:t>Öğrencinin kayıt yaptırdığı yıldaki merkezi yerleştirme puanı</w:t>
      </w:r>
      <w:r w:rsidR="00273992">
        <w:rPr>
          <w:bCs/>
        </w:rPr>
        <w:t>nın</w:t>
      </w:r>
      <w:r w:rsidRPr="00E00E3B">
        <w:rPr>
          <w:bCs/>
        </w:rPr>
        <w:t xml:space="preserve"> geçmek istediği diploma programının taban puanına eşit ve</w:t>
      </w:r>
      <w:r w:rsidR="001A2CFA">
        <w:rPr>
          <w:bCs/>
        </w:rPr>
        <w:t>ya yüksek olması durumunda;</w:t>
      </w:r>
      <w:r w:rsidRPr="00E00E3B">
        <w:rPr>
          <w:bCs/>
        </w:rPr>
        <w:t xml:space="preserve"> öğrenci, hazırlık sınıfı da dahil olmak üzere yatay geçiş için başvuru yapabilir</w:t>
      </w:r>
      <w:r w:rsidR="00837D43">
        <w:rPr>
          <w:bCs/>
        </w:rPr>
        <w:t>.</w:t>
      </w:r>
      <w:r w:rsidRPr="00E00E3B">
        <w:t xml:space="preserve"> Öğrenci Seçme ve Yerleştirme Sistemi Kılavuzlarında öngörülen öğrenci kontenjanı üzerinden Yükseköğretim Kurulu Başkanlığınca belirlenen oranlara göre kontenjan ayrılır.</w:t>
      </w:r>
      <w:r w:rsidRPr="00E00E3B">
        <w:rPr>
          <w:bCs/>
        </w:rPr>
        <w:t>Yükseköğretim Yürütme Kurulu tarafından belirlenen diploma programına yatay geçişe ilişkin başvuru takvimi, öğrenci kontenjanına ilişkin esaslar ile yatay geçişlere ilişkin usul ve esaslar uyarınca</w:t>
      </w:r>
      <w:r w:rsidR="001A2CFA">
        <w:rPr>
          <w:bCs/>
        </w:rPr>
        <w:t>,</w:t>
      </w:r>
      <w:r w:rsidRPr="00E00E3B">
        <w:rPr>
          <w:bCs/>
        </w:rPr>
        <w:t xml:space="preserve"> öğrencilerin başvuruları ilgili yönetim kurulları tarafından değerlendirilerek yatay geçişleri kabul edilir. Başvurunun kontenjandan fazla olduğu durumlarda ÖSYS puanı en yüksek adaydan </w:t>
      </w:r>
      <w:r w:rsidR="001A2CFA">
        <w:rPr>
          <w:bCs/>
        </w:rPr>
        <w:t>başlanmak suretiyle</w:t>
      </w:r>
      <w:r w:rsidRPr="00E00E3B">
        <w:rPr>
          <w:bCs/>
        </w:rPr>
        <w:t xml:space="preserve"> kontenjan kadar adayın yatay geçişi kabul edilir.</w:t>
      </w:r>
    </w:p>
    <w:p w:rsidR="007F4364" w:rsidRDefault="007F4364" w:rsidP="00E163C9">
      <w:pPr>
        <w:shd w:val="clear" w:color="auto" w:fill="FFFFFF"/>
        <w:spacing w:line="240" w:lineRule="atLeast"/>
        <w:jc w:val="both"/>
        <w:rPr>
          <w:bCs/>
        </w:rPr>
      </w:pPr>
      <w:r w:rsidRPr="004E483D">
        <w:rPr>
          <w:b/>
          <w:color w:val="1C283D"/>
        </w:rPr>
        <w:t>(</w:t>
      </w:r>
      <w:r w:rsidRPr="004E483D">
        <w:rPr>
          <w:b/>
          <w:bCs/>
        </w:rPr>
        <w:t>2)</w:t>
      </w:r>
      <w:r w:rsidRPr="00E00E3B">
        <w:rPr>
          <w:bCs/>
        </w:rPr>
        <w:t xml:space="preserve"> Eğitim gördüğü diploma programından farklı bir diploma programına yatay geçiş yapan öğrencilerin azami süreleri, diploma programının azami süresinden kabul edildiği sınıf çıkartılarak hesaplanır.</w:t>
      </w:r>
    </w:p>
    <w:p w:rsidR="0060105E" w:rsidRPr="0060105E" w:rsidRDefault="0060105E" w:rsidP="00E163C9">
      <w:pPr>
        <w:shd w:val="clear" w:color="auto" w:fill="FFFFFF"/>
        <w:spacing w:line="240" w:lineRule="atLeast"/>
        <w:jc w:val="both"/>
        <w:rPr>
          <w:b/>
          <w:bCs/>
        </w:rPr>
      </w:pPr>
      <w:r w:rsidRPr="0060105E">
        <w:rPr>
          <w:b/>
          <w:bCs/>
        </w:rPr>
        <w:t>(3)</w:t>
      </w:r>
      <w:r w:rsidRPr="0060105E">
        <w:rPr>
          <w:bCs/>
        </w:rPr>
        <w:t xml:space="preserve">Kabul edilen öğrencilerin muafiyet ve intibak </w:t>
      </w:r>
      <w:proofErr w:type="spellStart"/>
      <w:r w:rsidRPr="0060105E">
        <w:rPr>
          <w:bCs/>
        </w:rPr>
        <w:t>işlemleri</w:t>
      </w:r>
      <w:r w:rsidRPr="00A85208">
        <w:rPr>
          <w:rFonts w:eastAsiaTheme="minorHAnsi"/>
          <w:color w:val="000000"/>
          <w:lang w:eastAsia="en-US"/>
        </w:rPr>
        <w:t>“</w:t>
      </w:r>
      <w:r w:rsidRPr="00E00E3B">
        <w:rPr>
          <w:rFonts w:eastAsiaTheme="minorHAnsi"/>
          <w:color w:val="000000"/>
          <w:lang w:eastAsia="en-US"/>
        </w:rPr>
        <w:t>Gaziantep</w:t>
      </w:r>
      <w:proofErr w:type="spellEnd"/>
      <w:r w:rsidRPr="00E00E3B">
        <w:rPr>
          <w:rFonts w:eastAsiaTheme="minorHAnsi"/>
          <w:color w:val="000000"/>
          <w:lang w:eastAsia="en-US"/>
        </w:rPr>
        <w:t xml:space="preserve"> </w:t>
      </w:r>
      <w:proofErr w:type="gramStart"/>
      <w:r w:rsidRPr="00E00E3B">
        <w:rPr>
          <w:rFonts w:eastAsiaTheme="minorHAnsi"/>
          <w:color w:val="000000"/>
          <w:lang w:eastAsia="en-US"/>
        </w:rPr>
        <w:t>Ünivers</w:t>
      </w:r>
      <w:r w:rsidRPr="00A85208">
        <w:rPr>
          <w:rFonts w:eastAsiaTheme="minorHAnsi"/>
          <w:color w:val="000000"/>
          <w:lang w:eastAsia="en-US"/>
        </w:rPr>
        <w:t xml:space="preserve">itesi  </w:t>
      </w:r>
      <w:proofErr w:type="spellStart"/>
      <w:r w:rsidRPr="00A85208">
        <w:rPr>
          <w:rFonts w:eastAsiaTheme="minorHAnsi"/>
          <w:color w:val="000000"/>
          <w:lang w:eastAsia="en-US"/>
        </w:rPr>
        <w:t>Muafiyet</w:t>
      </w:r>
      <w:r w:rsidRPr="00E00E3B">
        <w:rPr>
          <w:rFonts w:eastAsiaTheme="minorHAnsi"/>
          <w:color w:val="000000"/>
          <w:lang w:eastAsia="en-US"/>
        </w:rPr>
        <w:t>v</w:t>
      </w:r>
      <w:r w:rsidRPr="00A85208">
        <w:rPr>
          <w:rFonts w:eastAsiaTheme="minorHAnsi"/>
          <w:color w:val="000000"/>
          <w:lang w:eastAsia="en-US"/>
        </w:rPr>
        <w:t>e</w:t>
      </w:r>
      <w:proofErr w:type="spellEnd"/>
      <w:proofErr w:type="gramEnd"/>
      <w:r w:rsidRPr="00A85208">
        <w:rPr>
          <w:rFonts w:eastAsiaTheme="minorHAnsi"/>
          <w:color w:val="000000"/>
          <w:lang w:eastAsia="en-US"/>
        </w:rPr>
        <w:t xml:space="preserve"> İntibak İşlemleri </w:t>
      </w:r>
      <w:proofErr w:type="spellStart"/>
      <w:r>
        <w:rPr>
          <w:rFonts w:eastAsiaTheme="minorHAnsi"/>
          <w:color w:val="000000"/>
          <w:lang w:eastAsia="en-US"/>
        </w:rPr>
        <w:t>Yönergesi</w:t>
      </w:r>
      <w:r w:rsidRPr="00A85208">
        <w:rPr>
          <w:rFonts w:eastAsiaTheme="minorHAnsi"/>
          <w:color w:val="000000"/>
          <w:lang w:eastAsia="en-US"/>
        </w:rPr>
        <w:t>”n</w:t>
      </w:r>
      <w:r w:rsidRPr="00E00E3B">
        <w:rPr>
          <w:rFonts w:eastAsiaTheme="minorHAnsi"/>
          <w:color w:val="000000"/>
          <w:lang w:eastAsia="en-US"/>
        </w:rPr>
        <w:t>e</w:t>
      </w:r>
      <w:proofErr w:type="spellEnd"/>
      <w:r w:rsidRPr="00A85208">
        <w:rPr>
          <w:rFonts w:eastAsiaTheme="minorHAnsi"/>
          <w:color w:val="000000"/>
          <w:lang w:eastAsia="en-US"/>
        </w:rPr>
        <w:t xml:space="preserve"> göre</w:t>
      </w:r>
      <w:r>
        <w:rPr>
          <w:rFonts w:eastAsiaTheme="minorHAnsi"/>
          <w:color w:val="000000"/>
          <w:lang w:eastAsia="en-US"/>
        </w:rPr>
        <w:t xml:space="preserve"> yapılır</w:t>
      </w:r>
      <w:r w:rsidRPr="00EE03AE">
        <w:rPr>
          <w:rFonts w:eastAsiaTheme="minorHAnsi"/>
          <w:color w:val="000000"/>
          <w:lang w:eastAsia="en-US"/>
        </w:rPr>
        <w:t>.</w:t>
      </w:r>
      <w:r w:rsidR="009C2E3D" w:rsidRPr="00EE03AE">
        <w:rPr>
          <w:rFonts w:eastAsiaTheme="minorHAnsi"/>
          <w:color w:val="000000"/>
          <w:lang w:eastAsia="en-US"/>
        </w:rPr>
        <w:t xml:space="preserve"> İntibak yapılırken, Eğitim-Öğretim ve Sınav Yönetmeliği farklı olan birimlerde ilgili yönetmeliğin maddeleri öncelikli uygulanır.</w:t>
      </w:r>
    </w:p>
    <w:p w:rsidR="00837D43" w:rsidRDefault="00837D43" w:rsidP="00E163C9">
      <w:pPr>
        <w:shd w:val="clear" w:color="auto" w:fill="FFFFFF"/>
        <w:spacing w:line="240" w:lineRule="atLeast"/>
        <w:jc w:val="center"/>
        <w:rPr>
          <w:b/>
          <w:bCs/>
        </w:rPr>
      </w:pPr>
    </w:p>
    <w:p w:rsidR="0022531D" w:rsidRPr="00E00E3B" w:rsidRDefault="00307AC6" w:rsidP="00E163C9">
      <w:pPr>
        <w:shd w:val="clear" w:color="auto" w:fill="FFFFFF"/>
        <w:spacing w:line="240" w:lineRule="atLeast"/>
        <w:jc w:val="center"/>
        <w:rPr>
          <w:b/>
          <w:bCs/>
        </w:rPr>
      </w:pPr>
      <w:r w:rsidRPr="00E00E3B">
        <w:rPr>
          <w:b/>
          <w:bCs/>
        </w:rPr>
        <w:t>ALTINCI BÖLÜM</w:t>
      </w:r>
    </w:p>
    <w:p w:rsidR="00307AC6" w:rsidRPr="00E00E3B" w:rsidRDefault="00307AC6" w:rsidP="00E163C9">
      <w:pPr>
        <w:shd w:val="clear" w:color="auto" w:fill="FFFFFF"/>
        <w:spacing w:line="240" w:lineRule="atLeast"/>
        <w:jc w:val="center"/>
        <w:rPr>
          <w:b/>
          <w:bCs/>
        </w:rPr>
      </w:pPr>
      <w:r w:rsidRPr="00E00E3B">
        <w:rPr>
          <w:b/>
          <w:bCs/>
        </w:rPr>
        <w:t>Yurtdışından Yatay Geçiş</w:t>
      </w:r>
    </w:p>
    <w:p w:rsidR="00A21E89" w:rsidRPr="00E00E3B" w:rsidRDefault="00A21E89" w:rsidP="00E163C9">
      <w:pPr>
        <w:shd w:val="clear" w:color="auto" w:fill="FFFFFF"/>
        <w:spacing w:line="240" w:lineRule="atLeast"/>
        <w:jc w:val="both"/>
        <w:rPr>
          <w:b/>
          <w:bCs/>
        </w:rPr>
      </w:pPr>
    </w:p>
    <w:p w:rsidR="00A21E89" w:rsidRPr="00A21E89" w:rsidRDefault="00951B0D" w:rsidP="00E163C9">
      <w:pPr>
        <w:autoSpaceDE w:val="0"/>
        <w:autoSpaceDN w:val="0"/>
        <w:adjustRightInd w:val="0"/>
        <w:jc w:val="both"/>
        <w:rPr>
          <w:rFonts w:eastAsiaTheme="minorHAnsi"/>
          <w:color w:val="000000"/>
          <w:lang w:eastAsia="en-US"/>
        </w:rPr>
      </w:pPr>
      <w:r>
        <w:rPr>
          <w:rFonts w:eastAsiaTheme="minorHAnsi"/>
          <w:b/>
          <w:bCs/>
          <w:color w:val="000000"/>
          <w:lang w:eastAsia="en-US"/>
        </w:rPr>
        <w:t>Kontenjan</w:t>
      </w:r>
    </w:p>
    <w:p w:rsidR="00210A21" w:rsidRDefault="00E9238C" w:rsidP="00951B0D">
      <w:pPr>
        <w:pStyle w:val="Default"/>
        <w:jc w:val="both"/>
      </w:pPr>
      <w:r>
        <w:rPr>
          <w:b/>
          <w:bCs/>
        </w:rPr>
        <w:t>MADDE 13</w:t>
      </w:r>
      <w:r w:rsidR="00A21E89" w:rsidRPr="00E00E3B">
        <w:rPr>
          <w:b/>
          <w:bCs/>
        </w:rPr>
        <w:t xml:space="preserve"> – (1) </w:t>
      </w:r>
      <w:r w:rsidR="00951B0D">
        <w:t xml:space="preserve">Yurtdışı yatay geçiş kontenjanı belirlenirken, ilgili birim Yönetim Kurulunun talebi doğrultusunda yurtiçi yatay geçiş </w:t>
      </w:r>
      <w:proofErr w:type="gramStart"/>
      <w:r w:rsidR="00951B0D">
        <w:t xml:space="preserve">kontenjanın   </w:t>
      </w:r>
      <w:r w:rsidR="00A21E89" w:rsidRPr="00E00E3B">
        <w:t>yarısını</w:t>
      </w:r>
      <w:proofErr w:type="gramEnd"/>
      <w:r w:rsidR="00A21E89" w:rsidRPr="00E00E3B">
        <w:t xml:space="preserve"> aşmayacak </w:t>
      </w:r>
      <w:r w:rsidR="00FB4119">
        <w:t>(</w:t>
      </w:r>
      <w:r w:rsidR="00FB4119" w:rsidRPr="00FB4119">
        <w:t>1’in altındaki sayılar 1’e tamamlanır. Virgülden sonraki ilk basamak 5’ten küçükse alttaki tam sayıya, 5 ve yukarısında ise bir üst tam sayıya tamamlanır.</w:t>
      </w:r>
      <w:r w:rsidR="00FB4119">
        <w:t>)</w:t>
      </w:r>
      <w:r w:rsidR="00951B0D">
        <w:t xml:space="preserve">şekilde </w:t>
      </w:r>
      <w:proofErr w:type="gramStart"/>
      <w:r w:rsidR="00951B0D">
        <w:t>belirlenir.Y</w:t>
      </w:r>
      <w:r w:rsidR="00A21E89" w:rsidRPr="00E00E3B">
        <w:t>urt</w:t>
      </w:r>
      <w:proofErr w:type="gramEnd"/>
      <w:r w:rsidR="00A21E89" w:rsidRPr="00E00E3B">
        <w:t xml:space="preserve"> dışı yükseköğret</w:t>
      </w:r>
      <w:r w:rsidR="001B4BB9">
        <w:t>im kurumları kontenjanları ile S</w:t>
      </w:r>
      <w:r w:rsidR="00A21E89" w:rsidRPr="00E00E3B">
        <w:t>e</w:t>
      </w:r>
      <w:r w:rsidR="009B2A40" w:rsidRPr="00E00E3B">
        <w:t>nato tarafından bu uygulama esaslarında belirlenen başvuru şartları, kurumlar arası yatay geçiş kontenjanları ile birlikte Yükseköğretim Kuruluna bildirilir. Yükseköğretim Kurulu internet sayfasında tüm yükseköğretim kurumlarının yurt dışı öğrenci kontenjanları ile başvuru şartları ve değerlendirme takvimi ilan edilir.</w:t>
      </w:r>
    </w:p>
    <w:p w:rsidR="002F7401" w:rsidRDefault="002F7401" w:rsidP="002F7401">
      <w:pPr>
        <w:pStyle w:val="Default"/>
        <w:jc w:val="both"/>
        <w:rPr>
          <w:b/>
          <w:bCs/>
        </w:rPr>
      </w:pPr>
    </w:p>
    <w:p w:rsidR="009B2A40" w:rsidRPr="00E00E3B" w:rsidRDefault="009B2A40" w:rsidP="00E163C9">
      <w:pPr>
        <w:pStyle w:val="Balk3"/>
        <w:ind w:firstLine="0"/>
      </w:pPr>
      <w:r w:rsidRPr="00E00E3B">
        <w:t xml:space="preserve">Yurtdışından yatay geçiş koşulları </w:t>
      </w:r>
    </w:p>
    <w:p w:rsidR="009B2A40" w:rsidRDefault="007B1F34" w:rsidP="00E163C9">
      <w:pPr>
        <w:pStyle w:val="Balk4"/>
      </w:pPr>
      <w:r>
        <w:rPr>
          <w:b/>
        </w:rPr>
        <w:t>Madde 1</w:t>
      </w:r>
      <w:r w:rsidR="00E9238C">
        <w:rPr>
          <w:b/>
        </w:rPr>
        <w:t>4</w:t>
      </w:r>
      <w:r w:rsidR="009B2A40" w:rsidRPr="00E00E3B">
        <w:rPr>
          <w:b/>
        </w:rPr>
        <w:t>-</w:t>
      </w:r>
      <w:r w:rsidR="009B2A40" w:rsidRPr="00A83226">
        <w:rPr>
          <w:b/>
        </w:rPr>
        <w:t>(1)</w:t>
      </w:r>
      <w:r w:rsidR="00E84434">
        <w:t>Y</w:t>
      </w:r>
      <w:r w:rsidR="00E84434" w:rsidRPr="00E00E3B">
        <w:t xml:space="preserve">urtdışından </w:t>
      </w:r>
      <w:r w:rsidR="009B2A40" w:rsidRPr="00E00E3B">
        <w:t>Üniversitemiz diploma programlarına yatay geçiş</w:t>
      </w:r>
      <w:r w:rsidR="001730FF">
        <w:t>te aranan koşullar</w:t>
      </w:r>
      <w:r w:rsidR="009B2A40" w:rsidRPr="00E00E3B">
        <w:t xml:space="preserve"> şunlardır:</w:t>
      </w:r>
    </w:p>
    <w:p w:rsidR="00E84434" w:rsidRPr="00E00E3B" w:rsidRDefault="00E84434" w:rsidP="00E163C9">
      <w:pPr>
        <w:pStyle w:val="Balk4"/>
      </w:pPr>
    </w:p>
    <w:p w:rsidR="009B2A40" w:rsidRDefault="009B2A40" w:rsidP="00E163C9">
      <w:pPr>
        <w:pStyle w:val="AltMaddeler"/>
        <w:numPr>
          <w:ilvl w:val="0"/>
          <w:numId w:val="2"/>
        </w:numPr>
        <w:rPr>
          <w:rFonts w:ascii="Times New Roman" w:hAnsi="Times New Roman"/>
          <w:sz w:val="24"/>
          <w:szCs w:val="24"/>
        </w:rPr>
      </w:pPr>
      <w:r w:rsidRPr="001D6B23">
        <w:rPr>
          <w:rFonts w:ascii="Times New Roman" w:hAnsi="Times New Roman"/>
          <w:sz w:val="24"/>
          <w:szCs w:val="24"/>
        </w:rPr>
        <w:t xml:space="preserve">Yurtdışından yatay geçişlerde, </w:t>
      </w:r>
      <w:r w:rsidR="001257D2" w:rsidRPr="001D6B23">
        <w:rPr>
          <w:rFonts w:ascii="Times New Roman" w:hAnsi="Times New Roman"/>
          <w:sz w:val="24"/>
          <w:szCs w:val="24"/>
        </w:rPr>
        <w:t>kayıtlı olduğu</w:t>
      </w:r>
      <w:r w:rsidR="004B48AC">
        <w:rPr>
          <w:rFonts w:ascii="Times New Roman" w:hAnsi="Times New Roman"/>
          <w:sz w:val="24"/>
          <w:szCs w:val="24"/>
        </w:rPr>
        <w:t xml:space="preserve"> yükseköğretim kurumunun</w:t>
      </w:r>
      <w:r w:rsidRPr="001D6B23">
        <w:rPr>
          <w:rFonts w:ascii="Times New Roman" w:hAnsi="Times New Roman"/>
          <w:sz w:val="24"/>
          <w:szCs w:val="24"/>
        </w:rPr>
        <w:t xml:space="preserve"> Yükseköğretim Kurulu tarafından denkliği kabul edilen kurumlar arasında</w:t>
      </w:r>
      <w:r w:rsidRPr="00E00E3B">
        <w:rPr>
          <w:rFonts w:ascii="Times New Roman" w:hAnsi="Times New Roman"/>
          <w:sz w:val="24"/>
          <w:szCs w:val="24"/>
        </w:rPr>
        <w:t xml:space="preserve"> olması ve kayıtlı olduğu diploma programının yatay geçiş için başvurduğu ön lisans veya lisans diploma programına eşdeğerliğinin Üniversitemiz </w:t>
      </w:r>
      <w:r w:rsidR="008307D7">
        <w:rPr>
          <w:rFonts w:ascii="Times New Roman" w:hAnsi="Times New Roman"/>
          <w:sz w:val="24"/>
          <w:szCs w:val="24"/>
        </w:rPr>
        <w:t xml:space="preserve">Senatosu </w:t>
      </w:r>
      <w:r w:rsidRPr="00E00E3B">
        <w:rPr>
          <w:rFonts w:ascii="Times New Roman" w:hAnsi="Times New Roman"/>
          <w:sz w:val="24"/>
          <w:szCs w:val="24"/>
        </w:rPr>
        <w:t>tarafından kabul edilmesi gerekir.</w:t>
      </w:r>
    </w:p>
    <w:p w:rsidR="004F72EF" w:rsidRPr="00E00E3B" w:rsidRDefault="004F72EF" w:rsidP="00E163C9">
      <w:pPr>
        <w:pStyle w:val="AltMaddeler"/>
        <w:ind w:left="1068" w:firstLine="0"/>
        <w:rPr>
          <w:rFonts w:ascii="Times New Roman" w:hAnsi="Times New Roman"/>
          <w:sz w:val="24"/>
          <w:szCs w:val="24"/>
        </w:rPr>
      </w:pPr>
    </w:p>
    <w:p w:rsidR="001313E3" w:rsidRPr="004F72EF" w:rsidRDefault="001313E3" w:rsidP="00E163C9">
      <w:pPr>
        <w:pStyle w:val="AltMaddeler"/>
        <w:numPr>
          <w:ilvl w:val="0"/>
          <w:numId w:val="2"/>
        </w:numPr>
        <w:rPr>
          <w:rFonts w:ascii="Times New Roman" w:hAnsi="Times New Roman"/>
          <w:sz w:val="24"/>
          <w:szCs w:val="24"/>
        </w:rPr>
      </w:pPr>
      <w:r w:rsidRPr="004F72EF">
        <w:rPr>
          <w:rFonts w:ascii="Times New Roman" w:hAnsi="Times New Roman"/>
          <w:sz w:val="24"/>
          <w:szCs w:val="24"/>
          <w:shd w:val="clear" w:color="auto" w:fill="FFFFFF"/>
        </w:rPr>
        <w:lastRenderedPageBreak/>
        <w:t>Yükseköğretim Kurumları Sınavı kılavuzlarında başarı sıralaması şartı getirilen Tıp, Hukuk, Mühendislik, Mimarlık, Öğretmenlik gibi programlar için ilgili yılda ÖSYM’nin düzenlediği Yükseköğretime giriş sınavına girmiş olması ve ilgili program için a</w:t>
      </w:r>
      <w:r w:rsidR="002D2169">
        <w:rPr>
          <w:rFonts w:ascii="Times New Roman" w:hAnsi="Times New Roman"/>
          <w:sz w:val="24"/>
          <w:szCs w:val="24"/>
          <w:shd w:val="clear" w:color="auto" w:fill="FFFFFF"/>
        </w:rPr>
        <w:t>ranan başarı sırasını sağlaması gerekir.</w:t>
      </w:r>
    </w:p>
    <w:p w:rsidR="004F72EF" w:rsidRPr="004F72EF" w:rsidRDefault="004F72EF" w:rsidP="00E163C9">
      <w:pPr>
        <w:pStyle w:val="AltMaddeler"/>
        <w:ind w:left="1068" w:firstLine="0"/>
        <w:rPr>
          <w:rFonts w:ascii="Times New Roman" w:hAnsi="Times New Roman"/>
          <w:sz w:val="24"/>
          <w:szCs w:val="24"/>
        </w:rPr>
      </w:pPr>
    </w:p>
    <w:p w:rsidR="001B14D9" w:rsidRDefault="001B14D9" w:rsidP="00E163C9">
      <w:pPr>
        <w:pStyle w:val="AltMaddeler"/>
        <w:numPr>
          <w:ilvl w:val="0"/>
          <w:numId w:val="2"/>
        </w:numPr>
        <w:rPr>
          <w:rFonts w:ascii="Times New Roman" w:hAnsi="Times New Roman"/>
          <w:sz w:val="24"/>
          <w:szCs w:val="24"/>
          <w:shd w:val="clear" w:color="auto" w:fill="FFFFFF"/>
        </w:rPr>
      </w:pPr>
      <w:r w:rsidRPr="004F72EF">
        <w:rPr>
          <w:rFonts w:ascii="Times New Roman" w:hAnsi="Times New Roman"/>
          <w:sz w:val="24"/>
          <w:szCs w:val="24"/>
          <w:shd w:val="clear" w:color="auto" w:fill="FFFFFF"/>
        </w:rPr>
        <w:t>Başarı sırası aranmayan programlar için ÖSYM’nin düzenlediği Yükseköğretime giriş sınavına girmiş olması ve geçmek istediği diploma programı için geçerli olan puan türünde aldığı merkezi yerleştirme puanının</w:t>
      </w:r>
      <w:r w:rsidR="00EC1AFF">
        <w:rPr>
          <w:rFonts w:ascii="Times New Roman" w:hAnsi="Times New Roman"/>
          <w:sz w:val="24"/>
          <w:szCs w:val="24"/>
          <w:shd w:val="clear" w:color="auto" w:fill="FFFFFF"/>
        </w:rPr>
        <w:t xml:space="preserve"> Ü</w:t>
      </w:r>
      <w:r w:rsidRPr="004F72EF">
        <w:rPr>
          <w:rFonts w:ascii="Times New Roman" w:hAnsi="Times New Roman"/>
          <w:sz w:val="24"/>
          <w:szCs w:val="24"/>
          <w:shd w:val="clear" w:color="auto" w:fill="FFFFFF"/>
        </w:rPr>
        <w:t>niversite</w:t>
      </w:r>
      <w:r w:rsidR="00EC1AFF">
        <w:rPr>
          <w:rFonts w:ascii="Times New Roman" w:hAnsi="Times New Roman"/>
          <w:sz w:val="24"/>
          <w:szCs w:val="24"/>
          <w:shd w:val="clear" w:color="auto" w:fill="FFFFFF"/>
        </w:rPr>
        <w:t>mizin</w:t>
      </w:r>
      <w:r w:rsidRPr="004F72EF">
        <w:rPr>
          <w:rFonts w:ascii="Times New Roman" w:hAnsi="Times New Roman"/>
          <w:sz w:val="24"/>
          <w:szCs w:val="24"/>
          <w:shd w:val="clear" w:color="auto" w:fill="FFFFFF"/>
        </w:rPr>
        <w:t xml:space="preserve"> eşdeğer diploma programlarının en düşük taban puanına eşit veya yüksek olması</w:t>
      </w:r>
      <w:r w:rsidR="00C30744">
        <w:rPr>
          <w:rFonts w:ascii="Times New Roman" w:hAnsi="Times New Roman"/>
          <w:sz w:val="24"/>
          <w:szCs w:val="24"/>
          <w:shd w:val="clear" w:color="auto" w:fill="FFFFFF"/>
        </w:rPr>
        <w:t xml:space="preserve"> gerekir.</w:t>
      </w:r>
    </w:p>
    <w:p w:rsidR="004F72EF" w:rsidRPr="004F72EF" w:rsidRDefault="004F72EF" w:rsidP="00E163C9">
      <w:pPr>
        <w:pStyle w:val="AltMaddeler"/>
        <w:ind w:left="1068" w:firstLine="0"/>
        <w:rPr>
          <w:rFonts w:ascii="Times New Roman" w:hAnsi="Times New Roman"/>
          <w:sz w:val="24"/>
          <w:szCs w:val="24"/>
        </w:rPr>
      </w:pPr>
    </w:p>
    <w:p w:rsidR="001B14D9" w:rsidRDefault="001B14D9" w:rsidP="00E163C9">
      <w:pPr>
        <w:pStyle w:val="AltMaddeler"/>
        <w:numPr>
          <w:ilvl w:val="0"/>
          <w:numId w:val="2"/>
        </w:numPr>
        <w:rPr>
          <w:rFonts w:ascii="Times New Roman" w:hAnsi="Times New Roman"/>
          <w:sz w:val="24"/>
          <w:szCs w:val="24"/>
          <w:shd w:val="clear" w:color="auto" w:fill="FFFFFF"/>
        </w:rPr>
      </w:pPr>
      <w:r w:rsidRPr="004F72EF">
        <w:rPr>
          <w:rFonts w:ascii="Times New Roman" w:hAnsi="Times New Roman"/>
          <w:sz w:val="24"/>
          <w:szCs w:val="24"/>
          <w:shd w:val="clear" w:color="auto" w:fill="FFFFFF"/>
        </w:rPr>
        <w:t xml:space="preserve">Özel yetenek programlarına yatay geçiş başvurularında ilgili </w:t>
      </w:r>
      <w:proofErr w:type="gramStart"/>
      <w:r w:rsidRPr="004F72EF">
        <w:rPr>
          <w:rFonts w:ascii="Times New Roman" w:hAnsi="Times New Roman"/>
          <w:sz w:val="24"/>
          <w:szCs w:val="24"/>
          <w:shd w:val="clear" w:color="auto" w:fill="FFFFFF"/>
        </w:rPr>
        <w:t>yılda  özel</w:t>
      </w:r>
      <w:proofErr w:type="gramEnd"/>
      <w:r w:rsidRPr="004F72EF">
        <w:rPr>
          <w:rFonts w:ascii="Times New Roman" w:hAnsi="Times New Roman"/>
          <w:sz w:val="24"/>
          <w:szCs w:val="24"/>
          <w:shd w:val="clear" w:color="auto" w:fill="FFFFFF"/>
        </w:rPr>
        <w:t xml:space="preserve"> yetenek programları için ilan edilen en düşük merkezi sınav puanını</w:t>
      </w:r>
      <w:r w:rsidR="00C30744">
        <w:rPr>
          <w:rFonts w:ascii="Times New Roman" w:hAnsi="Times New Roman"/>
          <w:sz w:val="24"/>
          <w:szCs w:val="24"/>
          <w:shd w:val="clear" w:color="auto" w:fill="FFFFFF"/>
        </w:rPr>
        <w:t>n</w:t>
      </w:r>
      <w:r w:rsidRPr="004F72EF">
        <w:rPr>
          <w:rFonts w:ascii="Times New Roman" w:hAnsi="Times New Roman"/>
          <w:sz w:val="24"/>
          <w:szCs w:val="24"/>
          <w:shd w:val="clear" w:color="auto" w:fill="FFFFFF"/>
        </w:rPr>
        <w:t xml:space="preserve"> sağla</w:t>
      </w:r>
      <w:r w:rsidR="00C30744">
        <w:rPr>
          <w:rFonts w:ascii="Times New Roman" w:hAnsi="Times New Roman"/>
          <w:sz w:val="24"/>
          <w:szCs w:val="24"/>
          <w:shd w:val="clear" w:color="auto" w:fill="FFFFFF"/>
        </w:rPr>
        <w:t>n</w:t>
      </w:r>
      <w:r w:rsidRPr="004F72EF">
        <w:rPr>
          <w:rFonts w:ascii="Times New Roman" w:hAnsi="Times New Roman"/>
          <w:sz w:val="24"/>
          <w:szCs w:val="24"/>
          <w:shd w:val="clear" w:color="auto" w:fill="FFFFFF"/>
        </w:rPr>
        <w:t>ması gerekmektedir. Özel yetenek programları yatay geçiş başvurula</w:t>
      </w:r>
      <w:r w:rsidR="00C30744">
        <w:rPr>
          <w:rFonts w:ascii="Times New Roman" w:hAnsi="Times New Roman"/>
          <w:sz w:val="24"/>
          <w:szCs w:val="24"/>
          <w:shd w:val="clear" w:color="auto" w:fill="FFFFFF"/>
        </w:rPr>
        <w:t>rı değerlendirilirken</w:t>
      </w:r>
      <w:r w:rsidR="00EC1AFF">
        <w:rPr>
          <w:rFonts w:ascii="Times New Roman" w:hAnsi="Times New Roman"/>
          <w:sz w:val="24"/>
          <w:szCs w:val="24"/>
          <w:shd w:val="clear" w:color="auto" w:fill="FFFFFF"/>
        </w:rPr>
        <w:t xml:space="preserve"> Ü</w:t>
      </w:r>
      <w:r w:rsidRPr="004F72EF">
        <w:rPr>
          <w:rFonts w:ascii="Times New Roman" w:hAnsi="Times New Roman"/>
          <w:sz w:val="24"/>
          <w:szCs w:val="24"/>
          <w:shd w:val="clear" w:color="auto" w:fill="FFFFFF"/>
        </w:rPr>
        <w:t>niversitemiz öze</w:t>
      </w:r>
      <w:r w:rsidR="00C30744">
        <w:rPr>
          <w:rFonts w:ascii="Times New Roman" w:hAnsi="Times New Roman"/>
          <w:sz w:val="24"/>
          <w:szCs w:val="24"/>
          <w:shd w:val="clear" w:color="auto" w:fill="FFFFFF"/>
        </w:rPr>
        <w:t>l yetenek sınavı uygulanabilir.</w:t>
      </w:r>
    </w:p>
    <w:p w:rsidR="004F72EF" w:rsidRPr="004F72EF" w:rsidRDefault="004F72EF" w:rsidP="00E163C9">
      <w:pPr>
        <w:pStyle w:val="AltMaddeler"/>
        <w:ind w:left="1068" w:firstLine="0"/>
        <w:rPr>
          <w:rFonts w:ascii="Times New Roman" w:hAnsi="Times New Roman"/>
          <w:sz w:val="24"/>
          <w:szCs w:val="24"/>
        </w:rPr>
      </w:pPr>
    </w:p>
    <w:p w:rsidR="004F72EF" w:rsidRPr="004F72EF" w:rsidRDefault="004F72EF" w:rsidP="00E163C9">
      <w:pPr>
        <w:pStyle w:val="AltMaddeler"/>
        <w:ind w:left="0" w:firstLine="0"/>
        <w:rPr>
          <w:rFonts w:ascii="Times New Roman" w:hAnsi="Times New Roman"/>
          <w:sz w:val="24"/>
          <w:szCs w:val="24"/>
        </w:rPr>
      </w:pPr>
    </w:p>
    <w:p w:rsidR="00FB7C31" w:rsidRDefault="00E163C9" w:rsidP="00E163C9">
      <w:pPr>
        <w:pStyle w:val="AltMaddeler"/>
        <w:numPr>
          <w:ilvl w:val="0"/>
          <w:numId w:val="2"/>
        </w:numPr>
        <w:rPr>
          <w:rFonts w:ascii="Times New Roman" w:hAnsi="Times New Roman"/>
          <w:color w:val="444444"/>
          <w:sz w:val="24"/>
          <w:szCs w:val="24"/>
          <w:shd w:val="clear" w:color="auto" w:fill="FFFFFF"/>
        </w:rPr>
      </w:pPr>
      <w:proofErr w:type="gramStart"/>
      <w:r>
        <w:rPr>
          <w:rFonts w:ascii="Times New Roman" w:hAnsi="Times New Roman"/>
          <w:sz w:val="24"/>
          <w:szCs w:val="24"/>
          <w:shd w:val="clear" w:color="auto" w:fill="FFFFFF"/>
        </w:rPr>
        <w:t>İ</w:t>
      </w:r>
      <w:r w:rsidR="00FB7C31" w:rsidRPr="004F72EF">
        <w:rPr>
          <w:rFonts w:ascii="Times New Roman" w:hAnsi="Times New Roman"/>
          <w:sz w:val="24"/>
          <w:szCs w:val="24"/>
          <w:shd w:val="clear" w:color="auto" w:fill="FFFFFF"/>
        </w:rPr>
        <w:t xml:space="preserve">lgili eğitim-öğretim döneminde QS veya Times </w:t>
      </w:r>
      <w:proofErr w:type="spellStart"/>
      <w:r w:rsidR="00FB7C31" w:rsidRPr="004F72EF">
        <w:rPr>
          <w:rFonts w:ascii="Times New Roman" w:hAnsi="Times New Roman"/>
          <w:sz w:val="24"/>
          <w:szCs w:val="24"/>
          <w:shd w:val="clear" w:color="auto" w:fill="FFFFFF"/>
        </w:rPr>
        <w:t>HigherEducation</w:t>
      </w:r>
      <w:proofErr w:type="spellEnd"/>
      <w:r w:rsidR="00FB7C31" w:rsidRPr="004F72EF">
        <w:rPr>
          <w:rFonts w:ascii="Times New Roman" w:hAnsi="Times New Roman"/>
          <w:sz w:val="24"/>
          <w:szCs w:val="24"/>
          <w:shd w:val="clear" w:color="auto" w:fill="FFFFFF"/>
        </w:rPr>
        <w:t xml:space="preserve"> dünya sıralamasında ilk 500'e giren üniversitelerde öğrenime başlayan öğrencilerden hazırlık sınıfı hariç en az ikinci sınıfı baş</w:t>
      </w:r>
      <w:r w:rsidR="006216CC">
        <w:rPr>
          <w:rFonts w:ascii="Times New Roman" w:hAnsi="Times New Roman"/>
          <w:sz w:val="24"/>
          <w:szCs w:val="24"/>
          <w:shd w:val="clear" w:color="auto" w:fill="FFFFFF"/>
        </w:rPr>
        <w:t>arıyla tamamlayan öğrencilerin üç</w:t>
      </w:r>
      <w:r w:rsidR="00FB7C31" w:rsidRPr="004F72EF">
        <w:rPr>
          <w:rFonts w:ascii="Times New Roman" w:hAnsi="Times New Roman"/>
          <w:sz w:val="24"/>
          <w:szCs w:val="24"/>
          <w:shd w:val="clear" w:color="auto" w:fill="FFFFFF"/>
        </w:rPr>
        <w:t xml:space="preserve">üncü sınıfa (öğretim süresi 5 yıl olanlarda 3 ve 4, öğretim süresi 6 yıl olanlarda 3, 4, 5 inci sınıflara) yatay geçiş başvurusu yapabilecek, </w:t>
      </w:r>
      <w:proofErr w:type="spellStart"/>
      <w:r w:rsidR="00FB7C31" w:rsidRPr="004F72EF">
        <w:rPr>
          <w:rFonts w:ascii="Times New Roman" w:hAnsi="Times New Roman"/>
          <w:sz w:val="24"/>
          <w:szCs w:val="24"/>
          <w:shd w:val="clear" w:color="auto" w:fill="FFFFFF"/>
        </w:rPr>
        <w:t>önlisans</w:t>
      </w:r>
      <w:proofErr w:type="spellEnd"/>
      <w:r w:rsidR="00FB7C31" w:rsidRPr="004F72EF">
        <w:rPr>
          <w:rFonts w:ascii="Times New Roman" w:hAnsi="Times New Roman"/>
          <w:sz w:val="24"/>
          <w:szCs w:val="24"/>
          <w:shd w:val="clear" w:color="auto" w:fill="FFFFFF"/>
        </w:rPr>
        <w:t xml:space="preserve"> programlarında ise üçüncü yarıyıla (ikinci sınıfa) yatay geçiş başvurusu yapılabilecektir</w:t>
      </w:r>
      <w:r w:rsidR="00FB7C31" w:rsidRPr="00E00E3B">
        <w:rPr>
          <w:rFonts w:ascii="Times New Roman" w:hAnsi="Times New Roman"/>
          <w:color w:val="444444"/>
          <w:sz w:val="24"/>
          <w:szCs w:val="24"/>
          <w:shd w:val="clear" w:color="auto" w:fill="FFFFFF"/>
        </w:rPr>
        <w:t>.</w:t>
      </w:r>
      <w:proofErr w:type="gramEnd"/>
    </w:p>
    <w:p w:rsidR="00E163C9" w:rsidRPr="00E00E3B" w:rsidRDefault="00E163C9" w:rsidP="00E163C9">
      <w:pPr>
        <w:pStyle w:val="AltMaddeler"/>
        <w:ind w:left="708" w:firstLine="0"/>
        <w:rPr>
          <w:rFonts w:ascii="Times New Roman" w:hAnsi="Times New Roman"/>
          <w:sz w:val="24"/>
          <w:szCs w:val="24"/>
        </w:rPr>
      </w:pPr>
    </w:p>
    <w:p w:rsidR="009B2A40" w:rsidRPr="00E84434" w:rsidRDefault="009B2A40" w:rsidP="00E163C9">
      <w:pPr>
        <w:pStyle w:val="AltMaddeler"/>
        <w:numPr>
          <w:ilvl w:val="0"/>
          <w:numId w:val="2"/>
        </w:numPr>
        <w:rPr>
          <w:rFonts w:ascii="Times New Roman" w:hAnsi="Times New Roman"/>
          <w:sz w:val="24"/>
          <w:szCs w:val="24"/>
        </w:rPr>
      </w:pPr>
      <w:r w:rsidRPr="00E84434">
        <w:rPr>
          <w:rFonts w:ascii="Times New Roman" w:hAnsi="Times New Roman"/>
          <w:sz w:val="24"/>
          <w:szCs w:val="24"/>
        </w:rPr>
        <w:t>Yurtdışındaki yükseköğretim kurumlarından yatay geçişte</w:t>
      </w:r>
      <w:r w:rsidR="006A02ED" w:rsidRPr="00E84434">
        <w:rPr>
          <w:rFonts w:ascii="Times New Roman" w:hAnsi="Times New Roman"/>
          <w:sz w:val="24"/>
          <w:szCs w:val="24"/>
        </w:rPr>
        <w:t>;</w:t>
      </w:r>
      <w:r w:rsidRPr="00E84434">
        <w:rPr>
          <w:rFonts w:ascii="Times New Roman" w:hAnsi="Times New Roman"/>
          <w:sz w:val="24"/>
          <w:szCs w:val="24"/>
        </w:rPr>
        <w:t xml:space="preserve"> öğrencinin yatay geçiş yapmak istediği diploma programının ilgili sınıfına öğrenci kabulündeki taban puana sahip öğrenciler, yurt dışında yükseköğrenim gördüğü tüm derslerden başarı şartı aranmaksızın yatay geçiş başvurusu yapabilirler. Bu yolla başvuran öğrencilerin yatay geçiş başvurusu yurt dışı yatay geçiş kontenjanı kapsamı dışında değerlendirilir.</w:t>
      </w:r>
    </w:p>
    <w:p w:rsidR="00E163C9" w:rsidRPr="00E00E3B" w:rsidRDefault="00E163C9" w:rsidP="00E163C9">
      <w:pPr>
        <w:pStyle w:val="AltMaddeler"/>
        <w:rPr>
          <w:rFonts w:ascii="Times New Roman" w:hAnsi="Times New Roman"/>
          <w:sz w:val="24"/>
          <w:szCs w:val="24"/>
        </w:rPr>
      </w:pPr>
    </w:p>
    <w:p w:rsidR="00E163C9" w:rsidRDefault="009B2A40" w:rsidP="002A736E">
      <w:pPr>
        <w:pStyle w:val="AltMaddeler"/>
        <w:numPr>
          <w:ilvl w:val="0"/>
          <w:numId w:val="2"/>
        </w:numPr>
        <w:rPr>
          <w:rFonts w:ascii="Times New Roman" w:hAnsi="Times New Roman"/>
          <w:sz w:val="24"/>
          <w:szCs w:val="24"/>
        </w:rPr>
      </w:pPr>
      <w:r w:rsidRPr="00E00E3B">
        <w:rPr>
          <w:rFonts w:ascii="Times New Roman" w:hAnsi="Times New Roman"/>
          <w:sz w:val="24"/>
          <w:szCs w:val="24"/>
        </w:rPr>
        <w:t xml:space="preserve">Tıp </w:t>
      </w:r>
      <w:r w:rsidR="006A02ED">
        <w:rPr>
          <w:rFonts w:ascii="Times New Roman" w:hAnsi="Times New Roman"/>
          <w:sz w:val="24"/>
          <w:szCs w:val="24"/>
        </w:rPr>
        <w:t>Fakültesi’ne yurt dışından yapılacak</w:t>
      </w:r>
      <w:r w:rsidRPr="00E00E3B">
        <w:rPr>
          <w:rFonts w:ascii="Times New Roman" w:hAnsi="Times New Roman"/>
          <w:sz w:val="24"/>
          <w:szCs w:val="24"/>
        </w:rPr>
        <w:t xml:space="preserve"> geçiş başvurularında</w:t>
      </w:r>
      <w:r w:rsidR="006A02ED">
        <w:rPr>
          <w:rFonts w:ascii="Times New Roman" w:hAnsi="Times New Roman"/>
          <w:sz w:val="24"/>
          <w:szCs w:val="24"/>
        </w:rPr>
        <w:t>;</w:t>
      </w:r>
      <w:r w:rsidRPr="00E00E3B">
        <w:rPr>
          <w:rFonts w:ascii="Times New Roman" w:hAnsi="Times New Roman"/>
          <w:sz w:val="24"/>
          <w:szCs w:val="24"/>
        </w:rPr>
        <w:t xml:space="preserve"> başvuruda bulunan öğrencilerden son olarak öğrenim görmüş oldukları fakülteleri, Dünya Tıp Eğitimi Federasyonu (</w:t>
      </w:r>
      <w:proofErr w:type="spellStart"/>
      <w:proofErr w:type="gramStart"/>
      <w:r w:rsidRPr="00E00E3B">
        <w:rPr>
          <w:rFonts w:ascii="Times New Roman" w:hAnsi="Times New Roman"/>
          <w:sz w:val="24"/>
          <w:szCs w:val="24"/>
        </w:rPr>
        <w:t>WFME:WorldFederationforMedicalEducation</w:t>
      </w:r>
      <w:proofErr w:type="spellEnd"/>
      <w:proofErr w:type="gramEnd"/>
      <w:r w:rsidRPr="00E00E3B">
        <w:rPr>
          <w:rFonts w:ascii="Times New Roman" w:hAnsi="Times New Roman"/>
          <w:sz w:val="24"/>
          <w:szCs w:val="24"/>
        </w:rPr>
        <w:t>) veya Avrupa Yükseköğretim Kalite Güvence Ajansı (</w:t>
      </w:r>
      <w:proofErr w:type="spellStart"/>
      <w:r w:rsidRPr="00E00E3B">
        <w:rPr>
          <w:rFonts w:ascii="Times New Roman" w:hAnsi="Times New Roman"/>
          <w:sz w:val="24"/>
          <w:szCs w:val="24"/>
        </w:rPr>
        <w:t>ENQA:EuropeanAssociationforQualityAssurance</w:t>
      </w:r>
      <w:proofErr w:type="spellEnd"/>
      <w:r w:rsidRPr="00E00E3B">
        <w:rPr>
          <w:rFonts w:ascii="Times New Roman" w:hAnsi="Times New Roman"/>
          <w:sz w:val="24"/>
          <w:szCs w:val="24"/>
        </w:rPr>
        <w:t xml:space="preserve"> in </w:t>
      </w:r>
      <w:proofErr w:type="spellStart"/>
      <w:r w:rsidRPr="00E00E3B">
        <w:rPr>
          <w:rFonts w:ascii="Times New Roman" w:hAnsi="Times New Roman"/>
          <w:sz w:val="24"/>
          <w:szCs w:val="24"/>
        </w:rPr>
        <w:t>HigherEducation</w:t>
      </w:r>
      <w:proofErr w:type="spellEnd"/>
      <w:r w:rsidRPr="00E00E3B">
        <w:rPr>
          <w:rFonts w:ascii="Times New Roman" w:hAnsi="Times New Roman"/>
          <w:sz w:val="24"/>
          <w:szCs w:val="24"/>
        </w:rPr>
        <w:t>) tarafından tanınan kuruluşlarca akredite edilmiş olanlara öncelik verilir.</w:t>
      </w:r>
    </w:p>
    <w:p w:rsidR="00E84434" w:rsidRDefault="00E84434" w:rsidP="00E84434">
      <w:pPr>
        <w:pStyle w:val="ListeParagraf"/>
      </w:pPr>
    </w:p>
    <w:p w:rsidR="00FB7C31" w:rsidRPr="00E163C9" w:rsidRDefault="009B2A40" w:rsidP="00E163C9">
      <w:pPr>
        <w:pStyle w:val="ListeParagraf"/>
        <w:numPr>
          <w:ilvl w:val="0"/>
          <w:numId w:val="2"/>
        </w:numPr>
        <w:jc w:val="both"/>
        <w:rPr>
          <w:bCs/>
        </w:rPr>
      </w:pPr>
      <w:r w:rsidRPr="00E00E3B">
        <w:t>Yurtdışındaki yükseköğretim kurumlarından yatay geçişte</w:t>
      </w:r>
      <w:r w:rsidR="006A02ED">
        <w:t>;</w:t>
      </w:r>
      <w:r w:rsidRPr="00E163C9">
        <w:rPr>
          <w:bCs/>
        </w:rPr>
        <w:t>%100 yabancı dilde eğitim veren programlara kayı</w:t>
      </w:r>
      <w:r w:rsidR="00555948">
        <w:rPr>
          <w:bCs/>
        </w:rPr>
        <w:t>t hakkı kazanan öğrenciler olmak üzere</w:t>
      </w:r>
      <w:r w:rsidRPr="00E163C9">
        <w:rPr>
          <w:bCs/>
        </w:rPr>
        <w:t xml:space="preserve"> eğitim-öğretime başlamak için Türkçe yeterlik şartı aranır. Kayıt hakkı kazanan öğrencilerden ortaöğretiminin tamamını Türkiye’de tamamlayanlar, ortaöğretimini yurtdışında T.C. Milli Eğitim Bakanlığına bağlı Türk liselerinde tamamlayanlar ile </w:t>
      </w:r>
      <w:r w:rsidRPr="00E00E3B">
        <w:t xml:space="preserve">yurtiçinde veya yurtdışında %100 Türk dilinde eğitim veren bir yükseköğretim diploma programından (ön lisans, lisans, yüksek lisans ve doktora) mezun olanlardan </w:t>
      </w:r>
      <w:r w:rsidRPr="00E163C9">
        <w:rPr>
          <w:bCs/>
        </w:rPr>
        <w:t>Türkçe yeterlik belgesi istenmez. Kayıt hakkı kazanan öğrencilerd</w:t>
      </w:r>
      <w:r w:rsidR="00FB7C31" w:rsidRPr="00E163C9">
        <w:rPr>
          <w:bCs/>
        </w:rPr>
        <w:t>en Türkçe yeterlikleri;  Gaziantep</w:t>
      </w:r>
      <w:r w:rsidRPr="00E163C9">
        <w:rPr>
          <w:bCs/>
        </w:rPr>
        <w:t xml:space="preserve"> Üniversitesi TÖMER tarafından yapılan Türkçe </w:t>
      </w:r>
      <w:r w:rsidR="009E5460">
        <w:t>yeterlik</w:t>
      </w:r>
      <w:r w:rsidRPr="00E163C9">
        <w:rPr>
          <w:bCs/>
        </w:rPr>
        <w:t>Sınavındaki başarı düzeyine</w:t>
      </w:r>
      <w:r w:rsidR="00FB7C31" w:rsidRPr="00E163C9">
        <w:rPr>
          <w:bCs/>
        </w:rPr>
        <w:t>, Gaziantep</w:t>
      </w:r>
      <w:r w:rsidRPr="00E163C9">
        <w:rPr>
          <w:bCs/>
        </w:rPr>
        <w:t xml:space="preserve"> Üniversitesi T</w:t>
      </w:r>
      <w:r w:rsidR="009E5460">
        <w:rPr>
          <w:bCs/>
        </w:rPr>
        <w:t xml:space="preserve">ÖMER Türkçe Yeterlik Belgesine veya </w:t>
      </w:r>
      <w:r w:rsidRPr="00E163C9">
        <w:rPr>
          <w:bCs/>
        </w:rPr>
        <w:t>Türkçe Yeterlik Belgesine (</w:t>
      </w:r>
      <w:r w:rsidRPr="00E00E3B">
        <w:t>C1 seviyesi ve üzerinde</w:t>
      </w:r>
      <w:r w:rsidRPr="00E163C9">
        <w:rPr>
          <w:bCs/>
        </w:rPr>
        <w:t>) sahip olan öğrenciler öğrenimine başlar. Yeterlik belgesine sahip olmayan</w:t>
      </w:r>
      <w:r w:rsidR="00FB7C31" w:rsidRPr="00E163C9">
        <w:rPr>
          <w:bCs/>
        </w:rPr>
        <w:t xml:space="preserve"> öğrencilere, kayıt yaptırdıktan sonra yeterlik için 1</w:t>
      </w:r>
      <w:r w:rsidR="009E5460">
        <w:rPr>
          <w:bCs/>
        </w:rPr>
        <w:t xml:space="preserve"> (bir) yıl süre </w:t>
      </w:r>
      <w:proofErr w:type="gramStart"/>
      <w:r w:rsidR="009E5460">
        <w:rPr>
          <w:bCs/>
        </w:rPr>
        <w:t xml:space="preserve">ile </w:t>
      </w:r>
      <w:r w:rsidR="00FB7C31" w:rsidRPr="00E163C9">
        <w:rPr>
          <w:bCs/>
        </w:rPr>
        <w:t xml:space="preserve"> iz</w:t>
      </w:r>
      <w:r w:rsidR="009E5460">
        <w:rPr>
          <w:bCs/>
        </w:rPr>
        <w:t>in</w:t>
      </w:r>
      <w:proofErr w:type="gramEnd"/>
      <w:r w:rsidR="00FB7C31" w:rsidRPr="00E163C9">
        <w:rPr>
          <w:bCs/>
        </w:rPr>
        <w:t xml:space="preserve"> verilir. Bu durumda olan </w:t>
      </w:r>
      <w:r w:rsidR="00FB7C31" w:rsidRPr="00E163C9">
        <w:rPr>
          <w:bCs/>
        </w:rPr>
        <w:lastRenderedPageBreak/>
        <w:t>öğrenciler, bir sonraki eğitim-öğretim yılında Türkçe yeterlik belgelerinden birine sahip olmaları durumunda öğrenime başlar. Türkçe öğretim programından en fazla 2 (iki) eğitim-öğretim yılı kadar sürede yeterlik alamayanların üniversite ile ilişiği kesilir.</w:t>
      </w:r>
    </w:p>
    <w:p w:rsidR="001730FF" w:rsidRPr="00E00E3B" w:rsidRDefault="001730FF" w:rsidP="001730FF">
      <w:pPr>
        <w:pStyle w:val="AltMaddeler"/>
        <w:numPr>
          <w:ilvl w:val="0"/>
          <w:numId w:val="2"/>
        </w:numPr>
        <w:rPr>
          <w:rFonts w:ascii="Times New Roman" w:hAnsi="Times New Roman"/>
          <w:sz w:val="24"/>
          <w:szCs w:val="24"/>
        </w:rPr>
      </w:pPr>
      <w:r w:rsidRPr="00E00E3B">
        <w:rPr>
          <w:rFonts w:ascii="Times New Roman" w:hAnsi="Times New Roman"/>
          <w:sz w:val="24"/>
          <w:szCs w:val="24"/>
        </w:rPr>
        <w:t xml:space="preserve">Yurtdışından yatay geçiş yapacak öğrencinin yurtdışı yükseköğretim kurumunda, yabancı dil hazırlık sınıfı hariç en az bir yıl okumuş olması ve ayrılacağı kurumda öğretim süresinde sağladığı genel ağırlıklı not ortalaması en az 4 üzerinden 3.00 </w:t>
      </w:r>
      <w:r w:rsidR="00E84434">
        <w:rPr>
          <w:rFonts w:ascii="Times New Roman" w:hAnsi="Times New Roman"/>
          <w:sz w:val="24"/>
          <w:szCs w:val="24"/>
        </w:rPr>
        <w:t>veya 100 üzerinden 80 olması ve yukarıda belirtilen maddelerde ki koşulları sağlaması gerekir</w:t>
      </w:r>
      <w:r w:rsidRPr="00E00E3B">
        <w:rPr>
          <w:rFonts w:ascii="Times New Roman" w:hAnsi="Times New Roman"/>
          <w:sz w:val="24"/>
          <w:szCs w:val="24"/>
        </w:rPr>
        <w:t xml:space="preserve">. </w:t>
      </w:r>
    </w:p>
    <w:p w:rsidR="00E163C9" w:rsidRPr="00E00E3B" w:rsidRDefault="00E163C9" w:rsidP="00E163C9">
      <w:pPr>
        <w:ind w:left="1134" w:hanging="567"/>
        <w:jc w:val="both"/>
        <w:rPr>
          <w:bCs/>
        </w:rPr>
      </w:pPr>
    </w:p>
    <w:p w:rsidR="00A21E89" w:rsidRPr="00E163C9" w:rsidRDefault="00FB7C31" w:rsidP="00E163C9">
      <w:pPr>
        <w:pStyle w:val="ListeParagraf"/>
        <w:numPr>
          <w:ilvl w:val="0"/>
          <w:numId w:val="2"/>
        </w:numPr>
        <w:shd w:val="clear" w:color="auto" w:fill="FFFFFF"/>
        <w:spacing w:line="240" w:lineRule="atLeast"/>
        <w:jc w:val="both"/>
        <w:rPr>
          <w:bCs/>
        </w:rPr>
      </w:pPr>
      <w:r w:rsidRPr="00E163C9">
        <w:rPr>
          <w:shd w:val="clear" w:color="auto" w:fill="FFFFFF"/>
        </w:rPr>
        <w:t>KKTC’de bulunan yükseköğretim kurumların</w:t>
      </w:r>
      <w:r w:rsidR="00DB48E0">
        <w:rPr>
          <w:shd w:val="clear" w:color="auto" w:fill="FFFFFF"/>
        </w:rPr>
        <w:t>d</w:t>
      </w:r>
      <w:r w:rsidRPr="00E163C9">
        <w:rPr>
          <w:shd w:val="clear" w:color="auto" w:fill="FFFFFF"/>
        </w:rPr>
        <w:t>a</w:t>
      </w:r>
      <w:r w:rsidR="00DB48E0">
        <w:rPr>
          <w:shd w:val="clear" w:color="auto" w:fill="FFFFFF"/>
        </w:rPr>
        <w:t>n</w:t>
      </w:r>
      <w:r w:rsidRPr="00E163C9">
        <w:rPr>
          <w:shd w:val="clear" w:color="auto" w:fill="FFFFFF"/>
        </w:rPr>
        <w:t xml:space="preserve"> yatay geçiş yapacak T.C. uyruklu öğrencilerin de yukarıdaki şartları sağlamaları gerekmektedir.</w:t>
      </w:r>
    </w:p>
    <w:p w:rsidR="004E483D" w:rsidRDefault="004E483D" w:rsidP="00E163C9">
      <w:pPr>
        <w:autoSpaceDE w:val="0"/>
        <w:autoSpaceDN w:val="0"/>
        <w:adjustRightInd w:val="0"/>
        <w:jc w:val="center"/>
        <w:rPr>
          <w:rFonts w:eastAsiaTheme="minorHAnsi"/>
          <w:b/>
          <w:bCs/>
          <w:color w:val="000000"/>
          <w:lang w:eastAsia="en-US"/>
        </w:rPr>
      </w:pPr>
    </w:p>
    <w:p w:rsidR="00EB730A" w:rsidRDefault="00EB730A" w:rsidP="00EB730A">
      <w:pPr>
        <w:shd w:val="clear" w:color="auto" w:fill="FFFFFF"/>
        <w:spacing w:line="240" w:lineRule="atLeast"/>
        <w:jc w:val="both"/>
        <w:rPr>
          <w:rFonts w:eastAsiaTheme="minorHAnsi"/>
          <w:color w:val="000000"/>
          <w:lang w:eastAsia="en-US"/>
        </w:rPr>
      </w:pPr>
      <w:r w:rsidRPr="00EB730A">
        <w:rPr>
          <w:b/>
          <w:bCs/>
        </w:rPr>
        <w:t>(2)</w:t>
      </w:r>
      <w:r w:rsidRPr="0060105E">
        <w:rPr>
          <w:bCs/>
        </w:rPr>
        <w:t xml:space="preserve">Kabul edilen öğrencilerin muafiyet ve intibak </w:t>
      </w:r>
      <w:proofErr w:type="spellStart"/>
      <w:r w:rsidRPr="0060105E">
        <w:rPr>
          <w:bCs/>
        </w:rPr>
        <w:t>işlemleri</w:t>
      </w:r>
      <w:r w:rsidRPr="00A85208">
        <w:rPr>
          <w:rFonts w:eastAsiaTheme="minorHAnsi"/>
          <w:color w:val="000000"/>
          <w:lang w:eastAsia="en-US"/>
        </w:rPr>
        <w:t>“</w:t>
      </w:r>
      <w:r w:rsidRPr="00E00E3B">
        <w:rPr>
          <w:rFonts w:eastAsiaTheme="minorHAnsi"/>
          <w:color w:val="000000"/>
          <w:lang w:eastAsia="en-US"/>
        </w:rPr>
        <w:t>Gaziantep</w:t>
      </w:r>
      <w:proofErr w:type="spellEnd"/>
      <w:r w:rsidRPr="00E00E3B">
        <w:rPr>
          <w:rFonts w:eastAsiaTheme="minorHAnsi"/>
          <w:color w:val="000000"/>
          <w:lang w:eastAsia="en-US"/>
        </w:rPr>
        <w:t xml:space="preserve"> </w:t>
      </w:r>
      <w:proofErr w:type="gramStart"/>
      <w:r w:rsidRPr="00E00E3B">
        <w:rPr>
          <w:rFonts w:eastAsiaTheme="minorHAnsi"/>
          <w:color w:val="000000"/>
          <w:lang w:eastAsia="en-US"/>
        </w:rPr>
        <w:t>Ünivers</w:t>
      </w:r>
      <w:r w:rsidRPr="00A85208">
        <w:rPr>
          <w:rFonts w:eastAsiaTheme="minorHAnsi"/>
          <w:color w:val="000000"/>
          <w:lang w:eastAsia="en-US"/>
        </w:rPr>
        <w:t xml:space="preserve">itesi  </w:t>
      </w:r>
      <w:proofErr w:type="spellStart"/>
      <w:r w:rsidRPr="00A85208">
        <w:rPr>
          <w:rFonts w:eastAsiaTheme="minorHAnsi"/>
          <w:color w:val="000000"/>
          <w:lang w:eastAsia="en-US"/>
        </w:rPr>
        <w:t>Muafiyet</w:t>
      </w:r>
      <w:r w:rsidRPr="00E00E3B">
        <w:rPr>
          <w:rFonts w:eastAsiaTheme="minorHAnsi"/>
          <w:color w:val="000000"/>
          <w:lang w:eastAsia="en-US"/>
        </w:rPr>
        <w:t>v</w:t>
      </w:r>
      <w:r w:rsidRPr="00A85208">
        <w:rPr>
          <w:rFonts w:eastAsiaTheme="minorHAnsi"/>
          <w:color w:val="000000"/>
          <w:lang w:eastAsia="en-US"/>
        </w:rPr>
        <w:t>e</w:t>
      </w:r>
      <w:proofErr w:type="spellEnd"/>
      <w:proofErr w:type="gramEnd"/>
      <w:r w:rsidRPr="00A85208">
        <w:rPr>
          <w:rFonts w:eastAsiaTheme="minorHAnsi"/>
          <w:color w:val="000000"/>
          <w:lang w:eastAsia="en-US"/>
        </w:rPr>
        <w:t xml:space="preserve"> İntibak İşlemleri </w:t>
      </w:r>
      <w:proofErr w:type="spellStart"/>
      <w:r>
        <w:rPr>
          <w:rFonts w:eastAsiaTheme="minorHAnsi"/>
          <w:color w:val="000000"/>
          <w:lang w:eastAsia="en-US"/>
        </w:rPr>
        <w:t>Yönergesi</w:t>
      </w:r>
      <w:r w:rsidRPr="00A85208">
        <w:rPr>
          <w:rFonts w:eastAsiaTheme="minorHAnsi"/>
          <w:color w:val="000000"/>
          <w:lang w:eastAsia="en-US"/>
        </w:rPr>
        <w:t>”n</w:t>
      </w:r>
      <w:r w:rsidRPr="00E00E3B">
        <w:rPr>
          <w:rFonts w:eastAsiaTheme="minorHAnsi"/>
          <w:color w:val="000000"/>
          <w:lang w:eastAsia="en-US"/>
        </w:rPr>
        <w:t>e</w:t>
      </w:r>
      <w:proofErr w:type="spellEnd"/>
      <w:r w:rsidRPr="00A85208">
        <w:rPr>
          <w:rFonts w:eastAsiaTheme="minorHAnsi"/>
          <w:color w:val="000000"/>
          <w:lang w:eastAsia="en-US"/>
        </w:rPr>
        <w:t xml:space="preserve"> göre</w:t>
      </w:r>
      <w:r>
        <w:rPr>
          <w:rFonts w:eastAsiaTheme="minorHAnsi"/>
          <w:color w:val="000000"/>
          <w:lang w:eastAsia="en-US"/>
        </w:rPr>
        <w:t xml:space="preserve"> yapılır</w:t>
      </w:r>
      <w:r w:rsidRPr="00EE03AE">
        <w:rPr>
          <w:rFonts w:eastAsiaTheme="minorHAnsi"/>
          <w:color w:val="000000"/>
          <w:lang w:eastAsia="en-US"/>
        </w:rPr>
        <w:t>. İntibak yapılırken, Eğitim-Öğretim ve Sınav Yönetmeliği farklı olan birimlerde ilgili yönetmeliğin maddeleri öncelikli uygulanır.</w:t>
      </w:r>
    </w:p>
    <w:p w:rsidR="00D50FB3" w:rsidRPr="00E00E3B" w:rsidRDefault="00D50FB3" w:rsidP="00D50FB3">
      <w:pPr>
        <w:jc w:val="both"/>
      </w:pPr>
      <w:r w:rsidRPr="00D50FB3">
        <w:rPr>
          <w:b/>
        </w:rPr>
        <w:t>(3)</w:t>
      </w:r>
      <w:r>
        <w:t>Üniversitemize başvurularda d</w:t>
      </w:r>
      <w:r w:rsidRPr="00E00E3B">
        <w:t xml:space="preserve">örtlük veya yüzlük sisteme göre elde edilen başarı notlarının birbirine dönüştürülmesinde, Yükseköğretim Yürütme Kurulu tarafından belirlenen dönüştürme tablosu kullanılır. </w:t>
      </w:r>
    </w:p>
    <w:p w:rsidR="00D50FB3" w:rsidRPr="0060105E" w:rsidRDefault="00D50FB3" w:rsidP="00EB730A">
      <w:pPr>
        <w:shd w:val="clear" w:color="auto" w:fill="FFFFFF"/>
        <w:spacing w:line="240" w:lineRule="atLeast"/>
        <w:jc w:val="both"/>
        <w:rPr>
          <w:b/>
          <w:bCs/>
        </w:rPr>
      </w:pPr>
    </w:p>
    <w:p w:rsidR="00EB730A" w:rsidRDefault="00EB730A" w:rsidP="00E163C9">
      <w:pPr>
        <w:autoSpaceDE w:val="0"/>
        <w:autoSpaceDN w:val="0"/>
        <w:adjustRightInd w:val="0"/>
        <w:jc w:val="center"/>
        <w:rPr>
          <w:rFonts w:eastAsiaTheme="minorHAnsi"/>
          <w:b/>
          <w:bCs/>
          <w:color w:val="000000"/>
          <w:lang w:eastAsia="en-US"/>
        </w:rPr>
      </w:pPr>
    </w:p>
    <w:p w:rsidR="00FD4437" w:rsidRPr="00FD4437" w:rsidRDefault="00EC1AFF" w:rsidP="00E163C9">
      <w:pPr>
        <w:autoSpaceDE w:val="0"/>
        <w:autoSpaceDN w:val="0"/>
        <w:adjustRightInd w:val="0"/>
        <w:jc w:val="center"/>
        <w:rPr>
          <w:rFonts w:eastAsiaTheme="minorHAnsi"/>
          <w:color w:val="000000"/>
          <w:lang w:eastAsia="en-US"/>
        </w:rPr>
      </w:pPr>
      <w:r>
        <w:rPr>
          <w:rFonts w:eastAsiaTheme="minorHAnsi"/>
          <w:b/>
          <w:bCs/>
          <w:color w:val="000000"/>
          <w:lang w:eastAsia="en-US"/>
        </w:rPr>
        <w:t>YED</w:t>
      </w:r>
      <w:r w:rsidR="00FD4437" w:rsidRPr="00FD4437">
        <w:rPr>
          <w:rFonts w:eastAsiaTheme="minorHAnsi"/>
          <w:b/>
          <w:bCs/>
          <w:color w:val="000000"/>
          <w:lang w:eastAsia="en-US"/>
        </w:rPr>
        <w:t>İNCİ BÖLÜM</w:t>
      </w:r>
    </w:p>
    <w:p w:rsidR="00FD4437" w:rsidRPr="00E00E3B" w:rsidRDefault="00FD4437" w:rsidP="00E163C9">
      <w:pPr>
        <w:autoSpaceDE w:val="0"/>
        <w:autoSpaceDN w:val="0"/>
        <w:adjustRightInd w:val="0"/>
        <w:jc w:val="center"/>
        <w:rPr>
          <w:rFonts w:eastAsiaTheme="minorHAnsi"/>
          <w:b/>
          <w:bCs/>
          <w:color w:val="000000"/>
          <w:lang w:eastAsia="en-US"/>
        </w:rPr>
      </w:pPr>
      <w:r w:rsidRPr="00E00E3B">
        <w:rPr>
          <w:rFonts w:eastAsiaTheme="minorHAnsi"/>
          <w:b/>
          <w:bCs/>
          <w:color w:val="000000"/>
          <w:lang w:eastAsia="en-US"/>
        </w:rPr>
        <w:t>Son Hükümler</w:t>
      </w:r>
    </w:p>
    <w:p w:rsidR="00FB7C31" w:rsidRPr="00E00E3B" w:rsidRDefault="00FB7C31" w:rsidP="00E163C9">
      <w:pPr>
        <w:autoSpaceDE w:val="0"/>
        <w:autoSpaceDN w:val="0"/>
        <w:adjustRightInd w:val="0"/>
        <w:jc w:val="both"/>
        <w:rPr>
          <w:rFonts w:eastAsiaTheme="minorHAnsi"/>
          <w:b/>
          <w:bCs/>
          <w:color w:val="000000"/>
          <w:lang w:eastAsia="en-US"/>
        </w:rPr>
      </w:pPr>
    </w:p>
    <w:p w:rsidR="00FB7C31" w:rsidRPr="00FB7C31" w:rsidRDefault="00FB7C31" w:rsidP="00E163C9">
      <w:pPr>
        <w:autoSpaceDE w:val="0"/>
        <w:autoSpaceDN w:val="0"/>
        <w:adjustRightInd w:val="0"/>
        <w:jc w:val="both"/>
        <w:rPr>
          <w:rFonts w:eastAsiaTheme="minorHAnsi"/>
          <w:color w:val="000000"/>
          <w:lang w:eastAsia="en-US"/>
        </w:rPr>
      </w:pPr>
      <w:r w:rsidRPr="00FB7C31">
        <w:rPr>
          <w:rFonts w:eastAsiaTheme="minorHAnsi"/>
          <w:b/>
          <w:bCs/>
          <w:color w:val="000000"/>
          <w:lang w:eastAsia="en-US"/>
        </w:rPr>
        <w:t xml:space="preserve">Hüküm bulunmayan haller </w:t>
      </w:r>
    </w:p>
    <w:p w:rsidR="00FD4437" w:rsidRPr="00E00E3B" w:rsidRDefault="00FB7C31" w:rsidP="00E163C9">
      <w:pPr>
        <w:pStyle w:val="Balk4"/>
        <w:rPr>
          <w:b/>
        </w:rPr>
      </w:pPr>
      <w:r w:rsidRPr="00E00E3B">
        <w:rPr>
          <w:rFonts w:eastAsiaTheme="minorHAnsi"/>
          <w:b/>
          <w:color w:val="000000"/>
          <w:lang w:eastAsia="en-US"/>
        </w:rPr>
        <w:t>MADDE 1</w:t>
      </w:r>
      <w:r w:rsidR="00E9238C">
        <w:rPr>
          <w:rFonts w:eastAsiaTheme="minorHAnsi"/>
          <w:b/>
          <w:color w:val="000000"/>
          <w:lang w:eastAsia="en-US"/>
        </w:rPr>
        <w:t>5</w:t>
      </w:r>
      <w:r w:rsidRPr="00E00E3B">
        <w:rPr>
          <w:rFonts w:eastAsiaTheme="minorHAnsi"/>
          <w:b/>
          <w:color w:val="000000"/>
          <w:lang w:eastAsia="en-US"/>
        </w:rPr>
        <w:t xml:space="preserve">- (1) </w:t>
      </w:r>
      <w:r w:rsidR="00FD4437" w:rsidRPr="00E00E3B">
        <w:t xml:space="preserve">–(1)Bu yönergede bulunmayan durumlarda  “Yükseköğretim Kurumlarında </w:t>
      </w:r>
      <w:proofErr w:type="spellStart"/>
      <w:r w:rsidR="00FD4437" w:rsidRPr="00E00E3B">
        <w:t>Önlisans</w:t>
      </w:r>
      <w:proofErr w:type="spellEnd"/>
      <w:r w:rsidR="00FD4437" w:rsidRPr="00E00E3B">
        <w:t xml:space="preserve"> ve Lisans Düzeyindeki Programlar Arasında Geçiş, Çift </w:t>
      </w:r>
      <w:proofErr w:type="spellStart"/>
      <w:r w:rsidR="00FD4437" w:rsidRPr="00E00E3B">
        <w:t>Anadal</w:t>
      </w:r>
      <w:proofErr w:type="spellEnd"/>
      <w:r w:rsidR="00FD4437" w:rsidRPr="00E00E3B">
        <w:t>, Yan Dal ile Kurumlar Arası Kredi Transferi Yapılması Esaslarına İlişkin Yönetmelik” hükümleri ve ilgili diğer mevzuat hükümleri, ilgili Yükseköğretim Kurulu Kararları, Genelgeleri, Senato ve ilgili yönetim kurulu kararları uygulanır.</w:t>
      </w:r>
    </w:p>
    <w:p w:rsidR="000F7D06" w:rsidRPr="00E00E3B" w:rsidRDefault="000F7D06" w:rsidP="00E163C9">
      <w:pPr>
        <w:pStyle w:val="Balk3"/>
        <w:ind w:firstLine="0"/>
      </w:pPr>
      <w:r w:rsidRPr="00E00E3B">
        <w:t>Yürürlükten kaldırılan mevzuat</w:t>
      </w:r>
    </w:p>
    <w:p w:rsidR="000F7D06" w:rsidRPr="00E00E3B" w:rsidRDefault="000F7D06" w:rsidP="00E163C9">
      <w:pPr>
        <w:pStyle w:val="Balk4"/>
      </w:pPr>
      <w:r w:rsidRPr="00E00E3B">
        <w:rPr>
          <w:b/>
        </w:rPr>
        <w:t>Madde1</w:t>
      </w:r>
      <w:r w:rsidR="00E9238C">
        <w:rPr>
          <w:b/>
        </w:rPr>
        <w:t>6</w:t>
      </w:r>
      <w:r w:rsidRPr="004F72EF">
        <w:rPr>
          <w:b/>
        </w:rPr>
        <w:t>–(1)</w:t>
      </w:r>
      <w:r w:rsidRPr="00E00E3B">
        <w:t xml:space="preserve"> Üniversitemiz Senatosunun </w:t>
      </w:r>
      <w:proofErr w:type="gramStart"/>
      <w:r w:rsidRPr="00E00E3B">
        <w:t>09/12/2003</w:t>
      </w:r>
      <w:proofErr w:type="gramEnd"/>
      <w:r w:rsidRPr="00E00E3B">
        <w:t xml:space="preserve"> tarih ve 33 </w:t>
      </w:r>
      <w:proofErr w:type="spellStart"/>
      <w:r w:rsidRPr="00E00E3B">
        <w:t>nolu</w:t>
      </w:r>
      <w:proofErr w:type="spellEnd"/>
      <w:r w:rsidRPr="00E00E3B">
        <w:t xml:space="preserve"> toplantısında kabul edilen “Gaziantep Üniversitesi Yatay Geçiş Esasları Yönerge”si yürürlükten kaldırılmıştır.</w:t>
      </w:r>
    </w:p>
    <w:p w:rsidR="000F7D06" w:rsidRPr="00E00E3B" w:rsidRDefault="000F7D06" w:rsidP="00E163C9">
      <w:pPr>
        <w:shd w:val="clear" w:color="auto" w:fill="FFFFFF"/>
        <w:spacing w:line="240" w:lineRule="atLeast"/>
        <w:jc w:val="both"/>
        <w:rPr>
          <w:b/>
          <w:bCs/>
          <w:color w:val="1C283D"/>
        </w:rPr>
      </w:pPr>
    </w:p>
    <w:p w:rsidR="000F7D06" w:rsidRPr="00E00E3B" w:rsidRDefault="000F7D06" w:rsidP="00E163C9">
      <w:pPr>
        <w:pStyle w:val="Balk3"/>
        <w:ind w:firstLine="0"/>
      </w:pPr>
      <w:r w:rsidRPr="00E00E3B">
        <w:t xml:space="preserve">Yürürlük </w:t>
      </w:r>
    </w:p>
    <w:p w:rsidR="000F7D06" w:rsidRPr="00E00E3B" w:rsidRDefault="000F7D06" w:rsidP="00E163C9">
      <w:pPr>
        <w:pStyle w:val="Balk4"/>
        <w:rPr>
          <w:b/>
        </w:rPr>
      </w:pPr>
      <w:r w:rsidRPr="00E00E3B">
        <w:rPr>
          <w:b/>
        </w:rPr>
        <w:t>Madde1</w:t>
      </w:r>
      <w:r w:rsidR="00E9238C">
        <w:rPr>
          <w:b/>
        </w:rPr>
        <w:t>7</w:t>
      </w:r>
      <w:r w:rsidRPr="00E00E3B">
        <w:t>-</w:t>
      </w:r>
      <w:r w:rsidRPr="004F72EF">
        <w:rPr>
          <w:b/>
        </w:rPr>
        <w:t>(1)</w:t>
      </w:r>
      <w:r w:rsidRPr="00E00E3B">
        <w:t xml:space="preserve">Bu Yönerge </w:t>
      </w:r>
      <w:r w:rsidR="00F22860" w:rsidRPr="00E00E3B">
        <w:t>Gaziantep</w:t>
      </w:r>
      <w:r w:rsidRPr="00E00E3B">
        <w:t xml:space="preserve"> Üniversitesi Senatosunda kabul edildiği tarihte yürürlüğe girer.</w:t>
      </w:r>
    </w:p>
    <w:p w:rsidR="000F7D06" w:rsidRPr="00E00E3B" w:rsidRDefault="000F7D06" w:rsidP="00E163C9">
      <w:pPr>
        <w:pStyle w:val="Balk4"/>
      </w:pPr>
    </w:p>
    <w:p w:rsidR="000F7D06" w:rsidRPr="00E00E3B" w:rsidRDefault="000F7D06" w:rsidP="00E163C9">
      <w:pPr>
        <w:pStyle w:val="Balk3"/>
        <w:ind w:firstLine="0"/>
      </w:pPr>
      <w:r w:rsidRPr="00E00E3B">
        <w:t xml:space="preserve">Yürütme </w:t>
      </w:r>
    </w:p>
    <w:p w:rsidR="000F7D06" w:rsidRPr="00E00E3B" w:rsidRDefault="000F7D06" w:rsidP="00E163C9">
      <w:pPr>
        <w:pStyle w:val="Balk4"/>
        <w:rPr>
          <w:b/>
        </w:rPr>
      </w:pPr>
      <w:r w:rsidRPr="00EC1AFF">
        <w:rPr>
          <w:b/>
        </w:rPr>
        <w:t xml:space="preserve">Madde </w:t>
      </w:r>
      <w:r w:rsidR="00EC1AFF" w:rsidRPr="00EC1AFF">
        <w:rPr>
          <w:b/>
        </w:rPr>
        <w:t>1</w:t>
      </w:r>
      <w:r w:rsidR="00E9238C">
        <w:rPr>
          <w:b/>
        </w:rPr>
        <w:t>8</w:t>
      </w:r>
      <w:r w:rsidRPr="00EC1AFF">
        <w:rPr>
          <w:b/>
        </w:rPr>
        <w:t>-(1)</w:t>
      </w:r>
      <w:r w:rsidRPr="00E00E3B">
        <w:t xml:space="preserve">Bu Yönerge </w:t>
      </w:r>
      <w:r w:rsidR="00F22860" w:rsidRPr="00E00E3B">
        <w:t xml:space="preserve">Gaziantep </w:t>
      </w:r>
      <w:r w:rsidRPr="00E00E3B">
        <w:t>Üniversitesi Rektörü tarafından yürütülür.</w:t>
      </w:r>
    </w:p>
    <w:p w:rsidR="00523FD9" w:rsidRDefault="00523FD9" w:rsidP="00E163C9">
      <w:pPr>
        <w:pBdr>
          <w:bottom w:val="single" w:sz="4" w:space="1" w:color="auto"/>
        </w:pBdr>
        <w:jc w:val="both"/>
      </w:pPr>
    </w:p>
    <w:p w:rsidR="000F7D06" w:rsidRDefault="00523FD9" w:rsidP="00C13122">
      <w:pPr>
        <w:pBdr>
          <w:bottom w:val="single" w:sz="4" w:space="1" w:color="auto"/>
        </w:pBdr>
        <w:jc w:val="both"/>
      </w:pPr>
      <w:r w:rsidRPr="00EE03AE">
        <w:rPr>
          <w:b/>
        </w:rPr>
        <w:t xml:space="preserve">GEÇİCİ MADDE: </w:t>
      </w:r>
      <w:r w:rsidRPr="00EE03AE">
        <w:t>202</w:t>
      </w:r>
      <w:r w:rsidR="00C13122" w:rsidRPr="00EE03AE">
        <w:t xml:space="preserve">0-2021 </w:t>
      </w:r>
      <w:r w:rsidR="002E69E9" w:rsidRPr="00EE03AE">
        <w:t>e</w:t>
      </w:r>
      <w:r w:rsidR="00C13122" w:rsidRPr="00EE03AE">
        <w:t>ğitim-</w:t>
      </w:r>
      <w:r w:rsidR="002E69E9" w:rsidRPr="00EE03AE">
        <w:t>ö</w:t>
      </w:r>
      <w:r w:rsidR="00C13122" w:rsidRPr="00EE03AE">
        <w:t>ğretim yılı güz yarıyılı</w:t>
      </w:r>
      <w:r w:rsidR="002D20C8" w:rsidRPr="00EE03AE">
        <w:t>na mahsus olmak üzere;</w:t>
      </w:r>
      <w:r w:rsidR="00C13122" w:rsidRPr="00EE03AE">
        <w:t>yurt</w:t>
      </w:r>
      <w:r w:rsidR="002E69E9" w:rsidRPr="00EE03AE">
        <w:t>dışından yatay geçişlerde Yükseköğretim Kurulu Başkanlığının ilgi yazıları uyarınca işlem yapılır.</w:t>
      </w:r>
    </w:p>
    <w:p w:rsidR="002E69E9" w:rsidRPr="00E00E3B" w:rsidRDefault="002E69E9" w:rsidP="00C13122">
      <w:pPr>
        <w:pBdr>
          <w:bottom w:val="single" w:sz="4" w:space="1" w:color="auto"/>
        </w:pBdr>
        <w:jc w:val="both"/>
      </w:pPr>
    </w:p>
    <w:p w:rsidR="00FB7C31" w:rsidRPr="00E00E3B" w:rsidRDefault="00FB7C31" w:rsidP="00E163C9">
      <w:pPr>
        <w:jc w:val="both"/>
        <w:rPr>
          <w:b/>
        </w:rPr>
      </w:pPr>
    </w:p>
    <w:sectPr w:rsidR="00FB7C31" w:rsidRPr="00E00E3B" w:rsidSect="00C33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B510D"/>
    <w:multiLevelType w:val="hybridMultilevel"/>
    <w:tmpl w:val="AA8E9650"/>
    <w:lvl w:ilvl="0" w:tplc="CE0A05D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3F5A2EF2"/>
    <w:multiLevelType w:val="hybridMultilevel"/>
    <w:tmpl w:val="5F1E70D0"/>
    <w:lvl w:ilvl="0" w:tplc="8F60E18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4B2A44AF"/>
    <w:multiLevelType w:val="hybridMultilevel"/>
    <w:tmpl w:val="040CB436"/>
    <w:lvl w:ilvl="0" w:tplc="F334A7EE">
      <w:start w:val="1"/>
      <w:numFmt w:val="upperRoman"/>
      <w:lvlText w:val="%1)"/>
      <w:lvlJc w:val="left"/>
      <w:pPr>
        <w:ind w:left="1854" w:hanging="72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B1D81"/>
    <w:rsid w:val="00057A5D"/>
    <w:rsid w:val="000D3C0C"/>
    <w:rsid w:val="000F11F4"/>
    <w:rsid w:val="000F7D06"/>
    <w:rsid w:val="001257D2"/>
    <w:rsid w:val="001313E3"/>
    <w:rsid w:val="0014035B"/>
    <w:rsid w:val="0015319F"/>
    <w:rsid w:val="00155D8E"/>
    <w:rsid w:val="001670F8"/>
    <w:rsid w:val="001730FF"/>
    <w:rsid w:val="001739D9"/>
    <w:rsid w:val="0018671A"/>
    <w:rsid w:val="001A2CFA"/>
    <w:rsid w:val="001B14D9"/>
    <w:rsid w:val="001B4BB9"/>
    <w:rsid w:val="001D6B23"/>
    <w:rsid w:val="00201F2F"/>
    <w:rsid w:val="00210A21"/>
    <w:rsid w:val="00216E26"/>
    <w:rsid w:val="0022531D"/>
    <w:rsid w:val="00273992"/>
    <w:rsid w:val="0027666B"/>
    <w:rsid w:val="00293F67"/>
    <w:rsid w:val="002D096A"/>
    <w:rsid w:val="002D20C8"/>
    <w:rsid w:val="002D2169"/>
    <w:rsid w:val="002D4F8E"/>
    <w:rsid w:val="002E69E9"/>
    <w:rsid w:val="002F7401"/>
    <w:rsid w:val="00307AC6"/>
    <w:rsid w:val="00345A2E"/>
    <w:rsid w:val="003D0050"/>
    <w:rsid w:val="003E57F1"/>
    <w:rsid w:val="003F7316"/>
    <w:rsid w:val="00417D1F"/>
    <w:rsid w:val="00443C8C"/>
    <w:rsid w:val="004B48AC"/>
    <w:rsid w:val="004E483D"/>
    <w:rsid w:val="004F72EF"/>
    <w:rsid w:val="00502172"/>
    <w:rsid w:val="005204A7"/>
    <w:rsid w:val="00523FD9"/>
    <w:rsid w:val="00525412"/>
    <w:rsid w:val="00555948"/>
    <w:rsid w:val="00572F52"/>
    <w:rsid w:val="005938E2"/>
    <w:rsid w:val="005C69E3"/>
    <w:rsid w:val="005F4E96"/>
    <w:rsid w:val="0060105E"/>
    <w:rsid w:val="006216CC"/>
    <w:rsid w:val="0064469B"/>
    <w:rsid w:val="00667EAD"/>
    <w:rsid w:val="00670B3F"/>
    <w:rsid w:val="006A02ED"/>
    <w:rsid w:val="006A2A4B"/>
    <w:rsid w:val="00700A79"/>
    <w:rsid w:val="007727EA"/>
    <w:rsid w:val="007B1F34"/>
    <w:rsid w:val="007B75F6"/>
    <w:rsid w:val="007F4364"/>
    <w:rsid w:val="008307D7"/>
    <w:rsid w:val="00837D43"/>
    <w:rsid w:val="00864716"/>
    <w:rsid w:val="008D38F1"/>
    <w:rsid w:val="00951B0D"/>
    <w:rsid w:val="00964E4F"/>
    <w:rsid w:val="009A741F"/>
    <w:rsid w:val="009B2A40"/>
    <w:rsid w:val="009C2E3D"/>
    <w:rsid w:val="009E1949"/>
    <w:rsid w:val="009E5460"/>
    <w:rsid w:val="00A067F8"/>
    <w:rsid w:val="00A21E89"/>
    <w:rsid w:val="00A255BA"/>
    <w:rsid w:val="00A42AFE"/>
    <w:rsid w:val="00A76D3A"/>
    <w:rsid w:val="00A77AA4"/>
    <w:rsid w:val="00A83226"/>
    <w:rsid w:val="00A85208"/>
    <w:rsid w:val="00AB1D81"/>
    <w:rsid w:val="00B05274"/>
    <w:rsid w:val="00B21E00"/>
    <w:rsid w:val="00B23B7E"/>
    <w:rsid w:val="00B44FE4"/>
    <w:rsid w:val="00B602C3"/>
    <w:rsid w:val="00B93E46"/>
    <w:rsid w:val="00BD4EF9"/>
    <w:rsid w:val="00BE3412"/>
    <w:rsid w:val="00C13122"/>
    <w:rsid w:val="00C30744"/>
    <w:rsid w:val="00C332A2"/>
    <w:rsid w:val="00CB1878"/>
    <w:rsid w:val="00CF3BF7"/>
    <w:rsid w:val="00CF4744"/>
    <w:rsid w:val="00CF4A6E"/>
    <w:rsid w:val="00CF7B3C"/>
    <w:rsid w:val="00D36BE0"/>
    <w:rsid w:val="00D47E27"/>
    <w:rsid w:val="00D50FB3"/>
    <w:rsid w:val="00D60AFB"/>
    <w:rsid w:val="00DB48E0"/>
    <w:rsid w:val="00DD2479"/>
    <w:rsid w:val="00E00E3B"/>
    <w:rsid w:val="00E0462B"/>
    <w:rsid w:val="00E163C9"/>
    <w:rsid w:val="00E53F69"/>
    <w:rsid w:val="00E75943"/>
    <w:rsid w:val="00E84434"/>
    <w:rsid w:val="00E9238C"/>
    <w:rsid w:val="00EA12DA"/>
    <w:rsid w:val="00EB730A"/>
    <w:rsid w:val="00EC1AFF"/>
    <w:rsid w:val="00EE03AE"/>
    <w:rsid w:val="00EE6C2C"/>
    <w:rsid w:val="00F22860"/>
    <w:rsid w:val="00F34676"/>
    <w:rsid w:val="00F506DD"/>
    <w:rsid w:val="00F607BD"/>
    <w:rsid w:val="00F640E0"/>
    <w:rsid w:val="00FB4119"/>
    <w:rsid w:val="00FB5DB7"/>
    <w:rsid w:val="00FB7C31"/>
    <w:rsid w:val="00FD44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DFBD62-6C87-41A8-B0C7-03E20D03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D81"/>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link w:val="Balk3Char"/>
    <w:autoRedefine/>
    <w:unhideWhenUsed/>
    <w:qFormat/>
    <w:rsid w:val="00AB1D81"/>
    <w:pPr>
      <w:keepNext/>
      <w:tabs>
        <w:tab w:val="left" w:pos="0"/>
      </w:tabs>
      <w:ind w:firstLine="426"/>
      <w:jc w:val="both"/>
      <w:outlineLvl w:val="2"/>
    </w:pPr>
    <w:rPr>
      <w:b/>
      <w:bCs/>
    </w:rPr>
  </w:style>
  <w:style w:type="paragraph" w:styleId="Balk4">
    <w:name w:val="heading 4"/>
    <w:basedOn w:val="Normal"/>
    <w:link w:val="Balk4Char1"/>
    <w:autoRedefine/>
    <w:unhideWhenUsed/>
    <w:qFormat/>
    <w:rsid w:val="00AB1D81"/>
    <w:pPr>
      <w:keepNext/>
      <w:jc w:val="both"/>
      <w:outlineLvl w:val="3"/>
    </w:pPr>
    <w:rPr>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AB1D81"/>
    <w:rPr>
      <w:rFonts w:ascii="Times New Roman" w:eastAsia="Times New Roman" w:hAnsi="Times New Roman" w:cs="Times New Roman"/>
      <w:b/>
      <w:bCs/>
      <w:sz w:val="24"/>
      <w:szCs w:val="24"/>
      <w:lang w:eastAsia="tr-TR"/>
    </w:rPr>
  </w:style>
  <w:style w:type="character" w:customStyle="1" w:styleId="Balk4Char">
    <w:name w:val="Başlık 4 Char"/>
    <w:basedOn w:val="VarsaylanParagrafYazTipi"/>
    <w:uiPriority w:val="9"/>
    <w:semiHidden/>
    <w:rsid w:val="00AB1D81"/>
    <w:rPr>
      <w:rFonts w:asciiTheme="majorHAnsi" w:eastAsiaTheme="majorEastAsia" w:hAnsiTheme="majorHAnsi" w:cstheme="majorBidi"/>
      <w:b/>
      <w:bCs/>
      <w:i/>
      <w:iCs/>
      <w:color w:val="4F81BD" w:themeColor="accent1"/>
      <w:sz w:val="24"/>
      <w:szCs w:val="24"/>
      <w:lang w:eastAsia="tr-TR"/>
    </w:rPr>
  </w:style>
  <w:style w:type="paragraph" w:customStyle="1" w:styleId="AltMaddeler">
    <w:name w:val="AltMaddeler"/>
    <w:basedOn w:val="Normal"/>
    <w:qFormat/>
    <w:rsid w:val="00AB1D81"/>
    <w:pPr>
      <w:spacing w:before="60" w:after="60"/>
      <w:ind w:left="1134" w:hanging="567"/>
      <w:contextualSpacing/>
      <w:jc w:val="both"/>
    </w:pPr>
    <w:rPr>
      <w:rFonts w:ascii="Calibri" w:eastAsia="Calibri" w:hAnsi="Calibri"/>
      <w:sz w:val="22"/>
      <w:szCs w:val="22"/>
    </w:rPr>
  </w:style>
  <w:style w:type="character" w:customStyle="1" w:styleId="Balk4Char1">
    <w:name w:val="Başlık 4 Char1"/>
    <w:basedOn w:val="VarsaylanParagrafYazTipi"/>
    <w:link w:val="Balk4"/>
    <w:locked/>
    <w:rsid w:val="00AB1D81"/>
    <w:rPr>
      <w:rFonts w:ascii="Times New Roman" w:eastAsia="Times New Roman" w:hAnsi="Times New Roman" w:cs="Times New Roman"/>
      <w:bCs/>
      <w:sz w:val="24"/>
      <w:szCs w:val="24"/>
      <w:lang w:eastAsia="tr-TR"/>
    </w:rPr>
  </w:style>
  <w:style w:type="paragraph" w:customStyle="1" w:styleId="Default">
    <w:name w:val="Default"/>
    <w:rsid w:val="00057A5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E163C9"/>
    <w:pPr>
      <w:ind w:left="720"/>
      <w:contextualSpacing/>
    </w:pPr>
  </w:style>
  <w:style w:type="paragraph" w:styleId="BalonMetni">
    <w:name w:val="Balloon Text"/>
    <w:basedOn w:val="Normal"/>
    <w:link w:val="BalonMetniChar"/>
    <w:uiPriority w:val="99"/>
    <w:semiHidden/>
    <w:unhideWhenUsed/>
    <w:rsid w:val="00A067F8"/>
    <w:rPr>
      <w:rFonts w:ascii="Tahoma" w:hAnsi="Tahoma" w:cs="Tahoma"/>
      <w:sz w:val="16"/>
      <w:szCs w:val="16"/>
    </w:rPr>
  </w:style>
  <w:style w:type="character" w:customStyle="1" w:styleId="BalonMetniChar">
    <w:name w:val="Balon Metni Char"/>
    <w:basedOn w:val="VarsaylanParagrafYazTipi"/>
    <w:link w:val="BalonMetni"/>
    <w:uiPriority w:val="99"/>
    <w:semiHidden/>
    <w:rsid w:val="00A067F8"/>
    <w:rPr>
      <w:rFonts w:ascii="Tahoma" w:eastAsia="Times New Roman" w:hAnsi="Tahoma" w:cs="Tahoma"/>
      <w:sz w:val="16"/>
      <w:szCs w:val="16"/>
      <w:lang w:eastAsia="tr-TR"/>
    </w:rPr>
  </w:style>
  <w:style w:type="paragraph" w:styleId="AklamaMetni">
    <w:name w:val="annotation text"/>
    <w:basedOn w:val="Normal"/>
    <w:link w:val="AklamaMetniChar"/>
    <w:uiPriority w:val="99"/>
    <w:semiHidden/>
    <w:unhideWhenUsed/>
    <w:rsid w:val="007727EA"/>
    <w:rPr>
      <w:sz w:val="20"/>
      <w:szCs w:val="20"/>
    </w:rPr>
  </w:style>
  <w:style w:type="character" w:customStyle="1" w:styleId="AklamaMetniChar">
    <w:name w:val="Açıklama Metni Char"/>
    <w:basedOn w:val="VarsaylanParagrafYazTipi"/>
    <w:link w:val="AklamaMetni"/>
    <w:uiPriority w:val="99"/>
    <w:semiHidden/>
    <w:rsid w:val="007727EA"/>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901511">
      <w:bodyDiv w:val="1"/>
      <w:marLeft w:val="0"/>
      <w:marRight w:val="0"/>
      <w:marTop w:val="0"/>
      <w:marBottom w:val="0"/>
      <w:divBdr>
        <w:top w:val="none" w:sz="0" w:space="0" w:color="auto"/>
        <w:left w:val="none" w:sz="0" w:space="0" w:color="auto"/>
        <w:bottom w:val="none" w:sz="0" w:space="0" w:color="auto"/>
        <w:right w:val="none" w:sz="0" w:space="0" w:color="auto"/>
      </w:divBdr>
    </w:div>
    <w:div w:id="9210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2820</Words>
  <Characters>16079</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18862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dc:creator>
  <cp:lastModifiedBy>Lenovo</cp:lastModifiedBy>
  <cp:revision>6</cp:revision>
  <cp:lastPrinted>2020-06-01T09:37:00Z</cp:lastPrinted>
  <dcterms:created xsi:type="dcterms:W3CDTF">2020-07-01T14:10:00Z</dcterms:created>
  <dcterms:modified xsi:type="dcterms:W3CDTF">2025-08-22T06:19:00Z</dcterms:modified>
</cp:coreProperties>
</file>